
<file path=[Content_Types].xml><?xml version="1.0" encoding="utf-8"?>
<Types xmlns="http://schemas.openxmlformats.org/package/2006/content-types">
  <Default Extension="xml" ContentType="application/xml"/>
  <Default Extension="png" ContentType="image/png"/>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D20689">
      <w:pPr>
        <w:spacing w:line="360" w:lineRule="auto"/>
        <w:rPr>
          <w:rFonts w:hint="eastAsia"/>
          <w:color w:val="auto"/>
          <w:highlight w:val="none"/>
        </w:rPr>
      </w:pPr>
      <w:bookmarkStart w:id="0" w:name="_Hlk46751296"/>
      <w:bookmarkStart w:id="1" w:name="_Toc9906"/>
      <w:r>
        <w:rPr>
          <w:color w:val="auto"/>
          <w:highlight w:val="none"/>
        </w:rPr>
        <w:drawing>
          <wp:inline distT="0" distB="0" distL="114300" distR="114300">
            <wp:extent cx="2411095" cy="619125"/>
            <wp:effectExtent l="0" t="0" r="12065"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6"/>
                    <a:stretch>
                      <a:fillRect/>
                    </a:stretch>
                  </pic:blipFill>
                  <pic:spPr>
                    <a:xfrm>
                      <a:off x="0" y="0"/>
                      <a:ext cx="2411095" cy="619125"/>
                    </a:xfrm>
                    <a:prstGeom prst="rect">
                      <a:avLst/>
                    </a:prstGeom>
                    <a:noFill/>
                    <a:ln>
                      <a:noFill/>
                    </a:ln>
                  </pic:spPr>
                </pic:pic>
              </a:graphicData>
            </a:graphic>
          </wp:inline>
        </w:drawing>
      </w:r>
    </w:p>
    <w:p w14:paraId="6B39D9AE">
      <w:pPr>
        <w:spacing w:line="360" w:lineRule="auto"/>
        <w:rPr>
          <w:rFonts w:hint="eastAsia"/>
          <w:color w:val="auto"/>
          <w:highlight w:val="none"/>
        </w:rPr>
      </w:pPr>
    </w:p>
    <w:p w14:paraId="38D3BD8D">
      <w:pPr>
        <w:spacing w:line="360" w:lineRule="auto"/>
        <w:rPr>
          <w:rFonts w:hint="eastAsia"/>
          <w:color w:val="auto"/>
          <w:highlight w:val="none"/>
        </w:rPr>
      </w:pPr>
    </w:p>
    <w:p w14:paraId="7D321A9C">
      <w:pPr>
        <w:spacing w:line="360" w:lineRule="auto"/>
        <w:rPr>
          <w:rFonts w:hint="eastAsia"/>
          <w:color w:val="auto"/>
          <w:highlight w:val="none"/>
        </w:rPr>
      </w:pPr>
    </w:p>
    <w:p w14:paraId="237504E1">
      <w:pPr>
        <w:spacing w:line="360" w:lineRule="auto"/>
        <w:rPr>
          <w:rFonts w:hint="eastAsia"/>
          <w:color w:val="auto"/>
          <w:highlight w:val="none"/>
        </w:rPr>
      </w:pPr>
    </w:p>
    <w:p w14:paraId="0653476C">
      <w:pPr>
        <w:pStyle w:val="2"/>
        <w:rPr>
          <w:rFonts w:hint="eastAsia"/>
          <w:color w:val="auto"/>
          <w:highlight w:val="none"/>
        </w:rPr>
      </w:pPr>
    </w:p>
    <w:p w14:paraId="5DCA1A6C">
      <w:pPr>
        <w:rPr>
          <w:rFonts w:hint="eastAsia"/>
          <w:color w:val="auto"/>
          <w:highlight w:val="none"/>
        </w:rPr>
      </w:pPr>
    </w:p>
    <w:p w14:paraId="49467EB3">
      <w:pPr>
        <w:pStyle w:val="2"/>
        <w:rPr>
          <w:rFonts w:hint="eastAsia"/>
          <w:color w:val="auto"/>
          <w:highlight w:val="none"/>
        </w:rPr>
      </w:pPr>
    </w:p>
    <w:p w14:paraId="29FF36D3">
      <w:pPr>
        <w:keepNext/>
        <w:keepLines/>
        <w:pageBreakBefore w:val="0"/>
        <w:widowControl w:val="0"/>
        <w:tabs>
          <w:tab w:val="left" w:pos="1008"/>
        </w:tabs>
        <w:kinsoku/>
        <w:wordWrap/>
        <w:overflowPunct/>
        <w:topLinePunct w:val="0"/>
        <w:autoSpaceDE/>
        <w:autoSpaceDN/>
        <w:bidi w:val="0"/>
        <w:adjustRightInd/>
        <w:snapToGrid/>
        <w:ind w:left="1009" w:hanging="1009"/>
        <w:jc w:val="center"/>
        <w:textAlignment w:val="auto"/>
        <w:outlineLvl w:val="9"/>
        <w:rPr>
          <w:rFonts w:hint="default" w:eastAsia="黑体"/>
          <w:color w:val="auto"/>
          <w:sz w:val="44"/>
          <w:szCs w:val="44"/>
          <w:highlight w:val="none"/>
          <w:lang w:val="en-US" w:eastAsia="zh-CN"/>
        </w:rPr>
      </w:pPr>
      <w:r>
        <w:rPr>
          <w:rFonts w:hint="eastAsia" w:eastAsia="黑体"/>
          <w:color w:val="auto"/>
          <w:sz w:val="44"/>
          <w:szCs w:val="44"/>
          <w:highlight w:val="none"/>
          <w:lang w:val="en-US" w:eastAsia="zh-CN"/>
        </w:rPr>
        <w:t>公开文件</w:t>
      </w:r>
    </w:p>
    <w:p w14:paraId="6493BCE3">
      <w:pPr>
        <w:spacing w:line="360" w:lineRule="auto"/>
        <w:rPr>
          <w:rFonts w:hint="eastAsia" w:ascii="黑体" w:hAnsi="宋体" w:eastAsia="黑体"/>
          <w:color w:val="auto"/>
          <w:szCs w:val="21"/>
          <w:highlight w:val="none"/>
        </w:rPr>
      </w:pPr>
    </w:p>
    <w:p w14:paraId="570F0B8E">
      <w:pPr>
        <w:spacing w:line="360" w:lineRule="auto"/>
        <w:rPr>
          <w:rFonts w:hint="eastAsia" w:ascii="黑体" w:hAnsi="宋体" w:eastAsia="黑体"/>
          <w:color w:val="auto"/>
          <w:szCs w:val="21"/>
          <w:highlight w:val="none"/>
        </w:rPr>
      </w:pPr>
    </w:p>
    <w:p w14:paraId="537F2A98">
      <w:pPr>
        <w:spacing w:line="360" w:lineRule="auto"/>
        <w:rPr>
          <w:rFonts w:hint="eastAsia" w:ascii="黑体" w:hAnsi="宋体" w:eastAsia="黑体"/>
          <w:color w:val="auto"/>
          <w:szCs w:val="21"/>
          <w:highlight w:val="none"/>
        </w:rPr>
      </w:pPr>
    </w:p>
    <w:p w14:paraId="45126F97">
      <w:pPr>
        <w:spacing w:line="360" w:lineRule="auto"/>
        <w:rPr>
          <w:rFonts w:hint="eastAsia" w:ascii="黑体" w:hAnsi="宋体" w:eastAsia="黑体"/>
          <w:color w:val="auto"/>
          <w:szCs w:val="21"/>
          <w:highlight w:val="none"/>
        </w:rPr>
      </w:pPr>
    </w:p>
    <w:p w14:paraId="7106FF4D">
      <w:pPr>
        <w:pStyle w:val="2"/>
        <w:rPr>
          <w:rFonts w:hint="eastAsia" w:ascii="黑体" w:hAnsi="宋体" w:eastAsia="黑体"/>
          <w:color w:val="auto"/>
          <w:szCs w:val="21"/>
          <w:highlight w:val="none"/>
        </w:rPr>
      </w:pPr>
    </w:p>
    <w:p w14:paraId="5115CAF1">
      <w:pPr>
        <w:rPr>
          <w:rFonts w:hint="eastAsia" w:ascii="黑体" w:hAnsi="宋体" w:eastAsia="黑体"/>
          <w:color w:val="auto"/>
          <w:szCs w:val="21"/>
          <w:highlight w:val="none"/>
        </w:rPr>
      </w:pPr>
    </w:p>
    <w:p w14:paraId="0688A1F1">
      <w:pPr>
        <w:pStyle w:val="2"/>
        <w:rPr>
          <w:rFonts w:hint="eastAsia"/>
          <w:color w:val="auto"/>
          <w:highlight w:val="none"/>
        </w:rPr>
      </w:pPr>
    </w:p>
    <w:p w14:paraId="72807E60">
      <w:pPr>
        <w:spacing w:line="360" w:lineRule="auto"/>
        <w:rPr>
          <w:rFonts w:hint="eastAsia" w:ascii="黑体" w:hAnsi="宋体" w:eastAsia="黑体"/>
          <w:color w:val="auto"/>
          <w:szCs w:val="21"/>
          <w:highlight w:val="none"/>
        </w:rPr>
      </w:pPr>
    </w:p>
    <w:p w14:paraId="4A8B3049">
      <w:pPr>
        <w:spacing w:line="360" w:lineRule="auto"/>
        <w:rPr>
          <w:rFonts w:hint="eastAsia" w:ascii="黑体" w:hAnsi="宋体" w:eastAsia="黑体"/>
          <w:color w:val="auto"/>
          <w:szCs w:val="21"/>
          <w:highlight w:val="none"/>
        </w:rPr>
      </w:pPr>
    </w:p>
    <w:tbl>
      <w:tblPr>
        <w:tblStyle w:val="36"/>
        <w:tblW w:w="0" w:type="auto"/>
        <w:jc w:val="center"/>
        <w:tblLayout w:type="autofit"/>
        <w:tblCellMar>
          <w:top w:w="0" w:type="dxa"/>
          <w:left w:w="108" w:type="dxa"/>
          <w:bottom w:w="0" w:type="dxa"/>
          <w:right w:w="108" w:type="dxa"/>
        </w:tblCellMar>
      </w:tblPr>
      <w:tblGrid>
        <w:gridCol w:w="1846"/>
        <w:gridCol w:w="2761"/>
      </w:tblGrid>
      <w:tr w14:paraId="11773187">
        <w:tblPrEx>
          <w:tblCellMar>
            <w:top w:w="0" w:type="dxa"/>
            <w:left w:w="108" w:type="dxa"/>
            <w:bottom w:w="0" w:type="dxa"/>
            <w:right w:w="108" w:type="dxa"/>
          </w:tblCellMar>
        </w:tblPrEx>
        <w:trPr>
          <w:trHeight w:val="135" w:hRule="atLeast"/>
          <w:jc w:val="center"/>
        </w:trPr>
        <w:tc>
          <w:tcPr>
            <w:tcW w:w="1846" w:type="dxa"/>
            <w:noWrap w:val="0"/>
            <w:vAlign w:val="center"/>
          </w:tcPr>
          <w:p w14:paraId="5431A308">
            <w:pPr>
              <w:widowControl w:val="0"/>
              <w:spacing w:line="360" w:lineRule="auto"/>
              <w:jc w:val="both"/>
              <w:rPr>
                <w:rFonts w:hint="default" w:ascii="宋体" w:hAnsi="宋体" w:eastAsia="宋体" w:cs="宋体"/>
                <w:color w:val="auto"/>
                <w:kern w:val="2"/>
                <w:sz w:val="30"/>
                <w:szCs w:val="30"/>
                <w:highlight w:val="none"/>
                <w:lang w:val="en-US" w:eastAsia="zh-CN"/>
              </w:rPr>
            </w:pPr>
            <w:r>
              <w:rPr>
                <w:rFonts w:hint="eastAsia" w:ascii="宋体" w:hAnsi="宋体" w:eastAsia="宋体" w:cs="宋体"/>
                <w:color w:val="auto"/>
                <w:kern w:val="2"/>
                <w:sz w:val="30"/>
                <w:szCs w:val="30"/>
                <w:highlight w:val="none"/>
                <w:lang w:val="en-US" w:eastAsia="zh-CN"/>
              </w:rPr>
              <w:t>编    制：</w:t>
            </w:r>
          </w:p>
        </w:tc>
        <w:tc>
          <w:tcPr>
            <w:tcW w:w="2761" w:type="dxa"/>
            <w:noWrap w:val="0"/>
            <w:vAlign w:val="center"/>
          </w:tcPr>
          <w:p w14:paraId="7A443335">
            <w:pPr>
              <w:widowControl w:val="0"/>
              <w:spacing w:line="360" w:lineRule="auto"/>
              <w:jc w:val="both"/>
              <w:rPr>
                <w:rFonts w:hint="default" w:ascii="宋体" w:hAnsi="宋体" w:eastAsia="宋体" w:cs="宋体"/>
                <w:color w:val="auto"/>
                <w:kern w:val="2"/>
                <w:sz w:val="30"/>
                <w:szCs w:val="30"/>
                <w:highlight w:val="none"/>
                <w:lang w:val="en-US" w:eastAsia="zh-CN"/>
              </w:rPr>
            </w:pPr>
            <w:r>
              <w:rPr>
                <w:rFonts w:hint="eastAsia" w:ascii="宋体" w:hAnsi="宋体" w:eastAsia="宋体" w:cs="宋体"/>
                <w:color w:val="auto"/>
                <w:kern w:val="2"/>
                <w:sz w:val="30"/>
                <w:szCs w:val="30"/>
                <w:highlight w:val="none"/>
                <w:lang w:val="en-US" w:eastAsia="zh-CN"/>
              </w:rPr>
              <w:t>编写小组</w:t>
            </w:r>
          </w:p>
        </w:tc>
      </w:tr>
      <w:tr w14:paraId="40EC9328">
        <w:tblPrEx>
          <w:tblCellMar>
            <w:top w:w="0" w:type="dxa"/>
            <w:left w:w="108" w:type="dxa"/>
            <w:bottom w:w="0" w:type="dxa"/>
            <w:right w:w="108" w:type="dxa"/>
          </w:tblCellMar>
        </w:tblPrEx>
        <w:trPr>
          <w:trHeight w:val="135" w:hRule="atLeast"/>
          <w:jc w:val="center"/>
        </w:trPr>
        <w:tc>
          <w:tcPr>
            <w:tcW w:w="1846" w:type="dxa"/>
            <w:noWrap w:val="0"/>
            <w:vAlign w:val="center"/>
          </w:tcPr>
          <w:p w14:paraId="1C5176F2">
            <w:pPr>
              <w:widowControl w:val="0"/>
              <w:spacing w:line="360" w:lineRule="auto"/>
              <w:jc w:val="both"/>
              <w:rPr>
                <w:rFonts w:hint="eastAsia" w:ascii="宋体" w:hAnsi="宋体" w:eastAsia="宋体" w:cs="宋体"/>
                <w:color w:val="auto"/>
                <w:kern w:val="2"/>
                <w:sz w:val="30"/>
                <w:szCs w:val="30"/>
                <w:highlight w:val="none"/>
                <w:lang w:val="en-US" w:eastAsia="zh-CN"/>
              </w:rPr>
            </w:pPr>
            <w:r>
              <w:rPr>
                <w:rFonts w:hint="eastAsia" w:ascii="宋体" w:hAnsi="宋体" w:eastAsia="宋体" w:cs="宋体"/>
                <w:color w:val="auto"/>
                <w:kern w:val="2"/>
                <w:sz w:val="30"/>
                <w:szCs w:val="30"/>
                <w:highlight w:val="none"/>
                <w:lang w:val="en-US" w:eastAsia="zh-CN"/>
              </w:rPr>
              <w:t>审    核：</w:t>
            </w:r>
          </w:p>
        </w:tc>
        <w:tc>
          <w:tcPr>
            <w:tcW w:w="2761" w:type="dxa"/>
            <w:noWrap w:val="0"/>
            <w:vAlign w:val="center"/>
          </w:tcPr>
          <w:p w14:paraId="2763B036">
            <w:pPr>
              <w:widowControl w:val="0"/>
              <w:spacing w:line="360" w:lineRule="auto"/>
              <w:jc w:val="both"/>
              <w:rPr>
                <w:rFonts w:hint="eastAsia" w:ascii="宋体" w:hAnsi="宋体" w:eastAsia="宋体" w:cs="宋体"/>
                <w:color w:val="auto"/>
                <w:kern w:val="2"/>
                <w:sz w:val="30"/>
                <w:szCs w:val="30"/>
                <w:highlight w:val="none"/>
              </w:rPr>
            </w:pPr>
          </w:p>
        </w:tc>
      </w:tr>
      <w:tr w14:paraId="5B880BCE">
        <w:tblPrEx>
          <w:tblCellMar>
            <w:top w:w="0" w:type="dxa"/>
            <w:left w:w="108" w:type="dxa"/>
            <w:bottom w:w="0" w:type="dxa"/>
            <w:right w:w="108" w:type="dxa"/>
          </w:tblCellMar>
        </w:tblPrEx>
        <w:trPr>
          <w:trHeight w:val="135" w:hRule="atLeast"/>
          <w:jc w:val="center"/>
        </w:trPr>
        <w:tc>
          <w:tcPr>
            <w:tcW w:w="1846" w:type="dxa"/>
            <w:noWrap w:val="0"/>
            <w:vAlign w:val="center"/>
          </w:tcPr>
          <w:p w14:paraId="1BFF397A">
            <w:pPr>
              <w:widowControl w:val="0"/>
              <w:spacing w:line="360" w:lineRule="auto"/>
              <w:jc w:val="both"/>
              <w:rPr>
                <w:rFonts w:hint="eastAsia" w:ascii="宋体" w:hAnsi="宋体" w:eastAsia="宋体" w:cs="宋体"/>
                <w:color w:val="auto"/>
                <w:kern w:val="2"/>
                <w:sz w:val="30"/>
                <w:szCs w:val="30"/>
                <w:highlight w:val="none"/>
                <w:lang w:val="en-US" w:eastAsia="zh-CN"/>
              </w:rPr>
            </w:pPr>
            <w:r>
              <w:rPr>
                <w:rFonts w:hint="eastAsia" w:ascii="宋体" w:hAnsi="宋体" w:eastAsia="宋体" w:cs="宋体"/>
                <w:color w:val="auto"/>
                <w:kern w:val="2"/>
                <w:sz w:val="30"/>
                <w:szCs w:val="30"/>
                <w:highlight w:val="none"/>
                <w:lang w:val="en-US" w:eastAsia="zh-CN"/>
              </w:rPr>
              <w:t>批    准：</w:t>
            </w:r>
          </w:p>
        </w:tc>
        <w:tc>
          <w:tcPr>
            <w:tcW w:w="2761" w:type="dxa"/>
            <w:noWrap w:val="0"/>
            <w:vAlign w:val="center"/>
          </w:tcPr>
          <w:p w14:paraId="16E4B9E6">
            <w:pPr>
              <w:widowControl w:val="0"/>
              <w:spacing w:line="360" w:lineRule="auto"/>
              <w:jc w:val="both"/>
              <w:rPr>
                <w:rFonts w:hint="eastAsia" w:ascii="宋体" w:hAnsi="宋体" w:eastAsia="宋体" w:cs="宋体"/>
                <w:color w:val="auto"/>
                <w:kern w:val="2"/>
                <w:sz w:val="30"/>
                <w:szCs w:val="30"/>
                <w:highlight w:val="none"/>
              </w:rPr>
            </w:pPr>
          </w:p>
        </w:tc>
      </w:tr>
      <w:bookmarkEnd w:id="0"/>
    </w:tbl>
    <w:p w14:paraId="6B5FBD5B">
      <w:pPr>
        <w:widowControl/>
        <w:jc w:val="left"/>
        <w:rPr>
          <w:rFonts w:ascii="宋体" w:hAnsi="宋体"/>
          <w:b/>
          <w:bCs/>
          <w:color w:val="auto"/>
          <w:sz w:val="32"/>
          <w:szCs w:val="32"/>
          <w:highlight w:val="none"/>
        </w:rPr>
      </w:pPr>
      <w:r>
        <w:rPr>
          <w:rFonts w:ascii="宋体" w:hAnsi="宋体"/>
          <w:b/>
          <w:bCs/>
          <w:color w:val="auto"/>
          <w:sz w:val="32"/>
          <w:szCs w:val="32"/>
          <w:highlight w:val="none"/>
        </w:rPr>
        <w:br w:type="page"/>
      </w:r>
    </w:p>
    <w:p w14:paraId="4FE544F3">
      <w:pPr>
        <w:keepNext w:val="0"/>
        <w:keepLines w:val="0"/>
        <w:pageBreakBefore w:val="0"/>
        <w:kinsoku/>
        <w:overflowPunct/>
        <w:autoSpaceDE/>
        <w:autoSpaceDN/>
        <w:bidi w:val="0"/>
        <w:adjustRightInd/>
        <w:snapToGrid/>
        <w:spacing w:line="300" w:lineRule="auto"/>
        <w:jc w:val="center"/>
        <w:rPr>
          <w:rFonts w:ascii="宋体"/>
          <w:color w:val="auto"/>
          <w:sz w:val="24"/>
          <w:highlight w:val="none"/>
        </w:rPr>
      </w:pPr>
      <w:r>
        <w:rPr>
          <w:rFonts w:hint="eastAsia" w:ascii="宋体"/>
          <w:b/>
          <w:bCs/>
          <w:color w:val="auto"/>
          <w:sz w:val="32"/>
          <w:szCs w:val="32"/>
          <w:highlight w:val="none"/>
          <w:lang w:val="en-US" w:eastAsia="zh-CN"/>
        </w:rPr>
        <w:t>文件修订记录</w:t>
      </w:r>
    </w:p>
    <w:tbl>
      <w:tblPr>
        <w:tblStyle w:val="36"/>
        <w:tblW w:w="51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70"/>
        <w:gridCol w:w="4163"/>
        <w:gridCol w:w="1153"/>
        <w:gridCol w:w="1356"/>
        <w:gridCol w:w="984"/>
        <w:gridCol w:w="1085"/>
      </w:tblGrid>
      <w:tr w14:paraId="5D5650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2" w:hRule="atLeast"/>
        </w:trPr>
        <w:tc>
          <w:tcPr>
            <w:tcW w:w="719" w:type="pct"/>
            <w:tcBorders>
              <w:top w:val="single" w:color="auto" w:sz="12" w:space="0"/>
            </w:tcBorders>
            <w:vAlign w:val="center"/>
          </w:tcPr>
          <w:p w14:paraId="304FC280">
            <w:pPr>
              <w:keepNext w:val="0"/>
              <w:keepLines w:val="0"/>
              <w:pageBreakBefore w:val="0"/>
              <w:kinsoku/>
              <w:overflowPunct/>
              <w:autoSpaceDE/>
              <w:autoSpaceDN/>
              <w:bidi w:val="0"/>
              <w:adjustRightInd/>
              <w:snapToGrid/>
              <w:spacing w:line="300" w:lineRule="auto"/>
              <w:jc w:val="center"/>
              <w:rPr>
                <w:rFonts w:hint="eastAsia" w:ascii="宋体"/>
                <w:color w:val="auto"/>
                <w:kern w:val="0"/>
                <w:sz w:val="21"/>
                <w:szCs w:val="21"/>
                <w:highlight w:val="none"/>
                <w:lang w:val="en-US" w:eastAsia="zh-CN"/>
              </w:rPr>
            </w:pPr>
            <w:r>
              <w:rPr>
                <w:rFonts w:hint="eastAsia" w:ascii="宋体"/>
                <w:color w:val="auto"/>
                <w:kern w:val="0"/>
                <w:sz w:val="21"/>
                <w:szCs w:val="21"/>
                <w:highlight w:val="none"/>
                <w:lang w:val="en-US" w:eastAsia="zh-CN"/>
              </w:rPr>
              <w:t>日期</w:t>
            </w:r>
          </w:p>
        </w:tc>
        <w:tc>
          <w:tcPr>
            <w:tcW w:w="2038" w:type="pct"/>
            <w:tcBorders>
              <w:top w:val="single" w:color="auto" w:sz="12" w:space="0"/>
              <w:right w:val="single" w:color="auto" w:sz="8" w:space="0"/>
            </w:tcBorders>
            <w:vAlign w:val="center"/>
          </w:tcPr>
          <w:p w14:paraId="5EEC5FF9">
            <w:pPr>
              <w:keepNext w:val="0"/>
              <w:keepLines w:val="0"/>
              <w:pageBreakBefore w:val="0"/>
              <w:kinsoku/>
              <w:overflowPunct/>
              <w:autoSpaceDE/>
              <w:autoSpaceDN/>
              <w:bidi w:val="0"/>
              <w:adjustRightInd/>
              <w:snapToGrid/>
              <w:spacing w:line="300" w:lineRule="auto"/>
              <w:jc w:val="center"/>
              <w:rPr>
                <w:rFonts w:hint="default" w:ascii="宋体"/>
                <w:color w:val="auto"/>
                <w:kern w:val="0"/>
                <w:sz w:val="21"/>
                <w:szCs w:val="21"/>
                <w:highlight w:val="none"/>
                <w:lang w:val="en-US" w:eastAsia="zh-CN"/>
              </w:rPr>
            </w:pPr>
            <w:r>
              <w:rPr>
                <w:rFonts w:hint="eastAsia" w:ascii="宋体"/>
                <w:color w:val="auto"/>
                <w:kern w:val="0"/>
                <w:sz w:val="21"/>
                <w:szCs w:val="21"/>
                <w:highlight w:val="none"/>
                <w:lang w:val="en-US" w:eastAsia="zh-CN"/>
              </w:rPr>
              <w:t>修订内容</w:t>
            </w:r>
          </w:p>
        </w:tc>
        <w:tc>
          <w:tcPr>
            <w:tcW w:w="564" w:type="pct"/>
            <w:tcBorders>
              <w:top w:val="single" w:color="auto" w:sz="12" w:space="0"/>
              <w:right w:val="single" w:color="auto" w:sz="8" w:space="0"/>
            </w:tcBorders>
            <w:vAlign w:val="center"/>
          </w:tcPr>
          <w:p w14:paraId="5F11CE2D">
            <w:pPr>
              <w:keepNext w:val="0"/>
              <w:keepLines w:val="0"/>
              <w:pageBreakBefore w:val="0"/>
              <w:kinsoku/>
              <w:overflowPunct/>
              <w:autoSpaceDE/>
              <w:autoSpaceDN/>
              <w:bidi w:val="0"/>
              <w:adjustRightInd/>
              <w:snapToGrid/>
              <w:spacing w:line="300" w:lineRule="auto"/>
              <w:jc w:val="center"/>
              <w:rPr>
                <w:rFonts w:hint="default" w:ascii="宋体"/>
                <w:color w:val="auto"/>
                <w:kern w:val="0"/>
                <w:sz w:val="21"/>
                <w:szCs w:val="21"/>
                <w:highlight w:val="none"/>
                <w:lang w:val="en-US" w:eastAsia="zh-CN"/>
              </w:rPr>
            </w:pPr>
            <w:r>
              <w:rPr>
                <w:rFonts w:hint="eastAsia" w:ascii="宋体"/>
                <w:color w:val="auto"/>
                <w:kern w:val="0"/>
                <w:sz w:val="21"/>
                <w:szCs w:val="21"/>
                <w:highlight w:val="none"/>
                <w:lang w:val="en-US" w:eastAsia="zh-CN"/>
              </w:rPr>
              <w:t>版本号</w:t>
            </w:r>
          </w:p>
        </w:tc>
        <w:tc>
          <w:tcPr>
            <w:tcW w:w="663" w:type="pct"/>
            <w:tcBorders>
              <w:top w:val="single" w:color="auto" w:sz="12" w:space="0"/>
              <w:right w:val="single" w:color="auto" w:sz="8" w:space="0"/>
            </w:tcBorders>
            <w:vAlign w:val="center"/>
          </w:tcPr>
          <w:p w14:paraId="6EECA5D3">
            <w:pPr>
              <w:keepNext w:val="0"/>
              <w:keepLines w:val="0"/>
              <w:pageBreakBefore w:val="0"/>
              <w:kinsoku/>
              <w:overflowPunct/>
              <w:autoSpaceDE/>
              <w:autoSpaceDN/>
              <w:bidi w:val="0"/>
              <w:adjustRightInd/>
              <w:snapToGrid/>
              <w:spacing w:line="300" w:lineRule="auto"/>
              <w:jc w:val="center"/>
              <w:rPr>
                <w:rFonts w:hint="eastAsia" w:ascii="宋体"/>
                <w:color w:val="auto"/>
                <w:kern w:val="0"/>
                <w:sz w:val="21"/>
                <w:szCs w:val="21"/>
                <w:highlight w:val="none"/>
                <w:lang w:eastAsia="zh-CN"/>
              </w:rPr>
            </w:pPr>
            <w:r>
              <w:rPr>
                <w:rFonts w:hint="eastAsia" w:ascii="宋体"/>
                <w:color w:val="auto"/>
                <w:kern w:val="0"/>
                <w:sz w:val="21"/>
                <w:szCs w:val="21"/>
                <w:highlight w:val="none"/>
                <w:lang w:eastAsia="zh-CN"/>
              </w:rPr>
              <w:t>编制</w:t>
            </w:r>
            <w:r>
              <w:rPr>
                <w:rFonts w:hint="eastAsia" w:ascii="宋体"/>
                <w:color w:val="auto"/>
                <w:kern w:val="0"/>
                <w:sz w:val="21"/>
                <w:szCs w:val="21"/>
                <w:highlight w:val="none"/>
                <w:lang w:val="en-US" w:eastAsia="zh-CN"/>
              </w:rPr>
              <w:t>/修订</w:t>
            </w:r>
          </w:p>
        </w:tc>
        <w:tc>
          <w:tcPr>
            <w:tcW w:w="481" w:type="pct"/>
            <w:tcBorders>
              <w:top w:val="single" w:color="auto" w:sz="12" w:space="0"/>
              <w:left w:val="single" w:color="auto" w:sz="8" w:space="0"/>
              <w:right w:val="single" w:color="auto" w:sz="8" w:space="0"/>
            </w:tcBorders>
            <w:vAlign w:val="center"/>
          </w:tcPr>
          <w:p w14:paraId="721B0642">
            <w:pPr>
              <w:keepNext w:val="0"/>
              <w:keepLines w:val="0"/>
              <w:pageBreakBefore w:val="0"/>
              <w:kinsoku/>
              <w:overflowPunct/>
              <w:autoSpaceDE/>
              <w:autoSpaceDN/>
              <w:bidi w:val="0"/>
              <w:adjustRightInd/>
              <w:snapToGrid/>
              <w:spacing w:line="300" w:lineRule="auto"/>
              <w:jc w:val="center"/>
              <w:rPr>
                <w:rFonts w:hint="eastAsia" w:ascii="宋体"/>
                <w:color w:val="auto"/>
                <w:kern w:val="0"/>
                <w:sz w:val="21"/>
                <w:szCs w:val="21"/>
                <w:highlight w:val="none"/>
                <w:lang w:eastAsia="zh-CN"/>
              </w:rPr>
            </w:pPr>
            <w:r>
              <w:rPr>
                <w:rFonts w:hint="eastAsia" w:ascii="宋体" w:hAnsi="宋体"/>
                <w:color w:val="auto"/>
                <w:kern w:val="0"/>
                <w:sz w:val="21"/>
                <w:szCs w:val="21"/>
                <w:highlight w:val="none"/>
                <w:lang w:eastAsia="zh-CN"/>
              </w:rPr>
              <w:t>审核</w:t>
            </w:r>
          </w:p>
        </w:tc>
        <w:tc>
          <w:tcPr>
            <w:tcW w:w="531" w:type="pct"/>
            <w:tcBorders>
              <w:top w:val="single" w:color="auto" w:sz="12" w:space="0"/>
              <w:left w:val="single" w:color="auto" w:sz="8" w:space="0"/>
            </w:tcBorders>
            <w:vAlign w:val="center"/>
          </w:tcPr>
          <w:p w14:paraId="2F38C4CB">
            <w:pPr>
              <w:keepNext w:val="0"/>
              <w:keepLines w:val="0"/>
              <w:pageBreakBefore w:val="0"/>
              <w:kinsoku/>
              <w:overflowPunct/>
              <w:autoSpaceDE/>
              <w:autoSpaceDN/>
              <w:bidi w:val="0"/>
              <w:adjustRightInd/>
              <w:snapToGrid/>
              <w:spacing w:line="300" w:lineRule="auto"/>
              <w:jc w:val="center"/>
              <w:rPr>
                <w:rFonts w:hint="eastAsia" w:ascii="宋体"/>
                <w:color w:val="auto"/>
                <w:kern w:val="0"/>
                <w:sz w:val="21"/>
                <w:szCs w:val="21"/>
                <w:highlight w:val="none"/>
                <w:lang w:eastAsia="zh-CN"/>
              </w:rPr>
            </w:pPr>
            <w:r>
              <w:rPr>
                <w:rFonts w:hint="eastAsia" w:ascii="宋体"/>
                <w:color w:val="auto"/>
                <w:kern w:val="0"/>
                <w:sz w:val="21"/>
                <w:szCs w:val="21"/>
                <w:highlight w:val="none"/>
                <w:lang w:eastAsia="zh-CN"/>
              </w:rPr>
              <w:t>批准</w:t>
            </w:r>
          </w:p>
        </w:tc>
      </w:tr>
      <w:tr w14:paraId="124E27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2" w:hRule="atLeast"/>
        </w:trPr>
        <w:tc>
          <w:tcPr>
            <w:tcW w:w="719" w:type="pct"/>
            <w:tcBorders>
              <w:top w:val="single" w:color="auto" w:sz="12" w:space="0"/>
            </w:tcBorders>
            <w:vAlign w:val="center"/>
          </w:tcPr>
          <w:p w14:paraId="377C56AC">
            <w:pPr>
              <w:keepNext w:val="0"/>
              <w:keepLines w:val="0"/>
              <w:pageBreakBefore w:val="0"/>
              <w:kinsoku/>
              <w:overflowPunct/>
              <w:autoSpaceDE/>
              <w:autoSpaceDN/>
              <w:bidi w:val="0"/>
              <w:adjustRightInd/>
              <w:snapToGrid/>
              <w:spacing w:line="300" w:lineRule="auto"/>
              <w:jc w:val="center"/>
              <w:rPr>
                <w:rFonts w:hint="default" w:ascii="宋体"/>
                <w:color w:val="auto"/>
                <w:kern w:val="0"/>
                <w:sz w:val="21"/>
                <w:szCs w:val="21"/>
                <w:highlight w:val="none"/>
                <w:lang w:val="en-US" w:eastAsia="zh-CN"/>
              </w:rPr>
            </w:pPr>
            <w:r>
              <w:rPr>
                <w:rFonts w:hint="eastAsia" w:ascii="宋体"/>
                <w:color w:val="auto"/>
                <w:kern w:val="0"/>
                <w:sz w:val="21"/>
                <w:szCs w:val="21"/>
                <w:highlight w:val="none"/>
                <w:lang w:val="en-US" w:eastAsia="zh-CN"/>
              </w:rPr>
              <w:t>2021.07.20</w:t>
            </w:r>
          </w:p>
        </w:tc>
        <w:tc>
          <w:tcPr>
            <w:tcW w:w="2038" w:type="pct"/>
            <w:tcBorders>
              <w:top w:val="single" w:color="auto" w:sz="12" w:space="0"/>
              <w:right w:val="single" w:color="auto" w:sz="8" w:space="0"/>
            </w:tcBorders>
            <w:vAlign w:val="center"/>
          </w:tcPr>
          <w:p w14:paraId="55AF6AA1">
            <w:pPr>
              <w:keepNext w:val="0"/>
              <w:keepLines w:val="0"/>
              <w:pageBreakBefore w:val="0"/>
              <w:kinsoku/>
              <w:overflowPunct/>
              <w:autoSpaceDE/>
              <w:autoSpaceDN/>
              <w:bidi w:val="0"/>
              <w:adjustRightInd/>
              <w:snapToGrid/>
              <w:spacing w:line="300" w:lineRule="auto"/>
              <w:jc w:val="center"/>
              <w:rPr>
                <w:rFonts w:hint="default" w:ascii="宋体"/>
                <w:color w:val="auto"/>
                <w:kern w:val="0"/>
                <w:sz w:val="21"/>
                <w:szCs w:val="21"/>
                <w:highlight w:val="none"/>
                <w:lang w:val="en-US" w:eastAsia="zh-CN"/>
              </w:rPr>
            </w:pPr>
            <w:r>
              <w:rPr>
                <w:rFonts w:hint="eastAsia" w:ascii="宋体"/>
                <w:color w:val="auto"/>
                <w:kern w:val="0"/>
                <w:sz w:val="21"/>
                <w:szCs w:val="21"/>
                <w:highlight w:val="none"/>
                <w:lang w:val="en-US" w:eastAsia="zh-CN"/>
              </w:rPr>
              <w:t>/</w:t>
            </w:r>
          </w:p>
        </w:tc>
        <w:tc>
          <w:tcPr>
            <w:tcW w:w="564" w:type="pct"/>
            <w:tcBorders>
              <w:top w:val="single" w:color="auto" w:sz="12" w:space="0"/>
              <w:right w:val="single" w:color="auto" w:sz="8" w:space="0"/>
            </w:tcBorders>
            <w:vAlign w:val="center"/>
          </w:tcPr>
          <w:p w14:paraId="7EB964C0">
            <w:pPr>
              <w:keepNext w:val="0"/>
              <w:keepLines w:val="0"/>
              <w:pageBreakBefore w:val="0"/>
              <w:kinsoku/>
              <w:overflowPunct/>
              <w:autoSpaceDE/>
              <w:autoSpaceDN/>
              <w:bidi w:val="0"/>
              <w:adjustRightInd/>
              <w:snapToGrid/>
              <w:spacing w:line="300" w:lineRule="auto"/>
              <w:jc w:val="center"/>
              <w:rPr>
                <w:rFonts w:hint="eastAsia" w:ascii="宋体"/>
                <w:color w:val="auto"/>
                <w:kern w:val="0"/>
                <w:sz w:val="21"/>
                <w:szCs w:val="21"/>
                <w:highlight w:val="none"/>
                <w:lang w:val="en-US" w:eastAsia="zh-CN"/>
              </w:rPr>
            </w:pPr>
            <w:r>
              <w:rPr>
                <w:rFonts w:hint="eastAsia" w:ascii="宋体"/>
                <w:color w:val="auto"/>
                <w:kern w:val="0"/>
                <w:sz w:val="21"/>
                <w:szCs w:val="21"/>
                <w:highlight w:val="none"/>
                <w:lang w:val="en-US" w:eastAsia="zh-CN"/>
              </w:rPr>
              <w:t>A/0</w:t>
            </w:r>
          </w:p>
        </w:tc>
        <w:tc>
          <w:tcPr>
            <w:tcW w:w="663" w:type="pct"/>
            <w:tcBorders>
              <w:top w:val="single" w:color="auto" w:sz="12" w:space="0"/>
              <w:right w:val="single" w:color="auto" w:sz="8" w:space="0"/>
            </w:tcBorders>
            <w:vAlign w:val="center"/>
          </w:tcPr>
          <w:p w14:paraId="27339446">
            <w:pPr>
              <w:keepNext w:val="0"/>
              <w:keepLines w:val="0"/>
              <w:pageBreakBefore w:val="0"/>
              <w:kinsoku/>
              <w:overflowPunct/>
              <w:autoSpaceDE/>
              <w:autoSpaceDN/>
              <w:bidi w:val="0"/>
              <w:adjustRightInd/>
              <w:snapToGrid/>
              <w:spacing w:line="300" w:lineRule="auto"/>
              <w:jc w:val="center"/>
              <w:rPr>
                <w:rFonts w:hint="eastAsia" w:ascii="宋体"/>
                <w:color w:val="auto"/>
                <w:kern w:val="0"/>
                <w:sz w:val="21"/>
                <w:szCs w:val="21"/>
                <w:highlight w:val="none"/>
                <w:lang w:eastAsia="zh-CN"/>
              </w:rPr>
            </w:pPr>
            <w:r>
              <w:rPr>
                <w:rFonts w:hint="eastAsia" w:ascii="宋体"/>
                <w:color w:val="auto"/>
                <w:kern w:val="0"/>
                <w:sz w:val="21"/>
                <w:szCs w:val="21"/>
                <w:highlight w:val="none"/>
                <w:lang w:eastAsia="zh-CN"/>
              </w:rPr>
              <w:t>编制小组</w:t>
            </w:r>
          </w:p>
        </w:tc>
        <w:tc>
          <w:tcPr>
            <w:tcW w:w="481" w:type="pct"/>
            <w:tcBorders>
              <w:top w:val="single" w:color="auto" w:sz="12" w:space="0"/>
              <w:left w:val="single" w:color="auto" w:sz="8" w:space="0"/>
              <w:right w:val="single" w:color="auto" w:sz="8" w:space="0"/>
            </w:tcBorders>
            <w:vAlign w:val="center"/>
          </w:tcPr>
          <w:p w14:paraId="014E207C">
            <w:pPr>
              <w:keepNext w:val="0"/>
              <w:keepLines w:val="0"/>
              <w:pageBreakBefore w:val="0"/>
              <w:kinsoku/>
              <w:overflowPunct/>
              <w:autoSpaceDE/>
              <w:autoSpaceDN/>
              <w:bidi w:val="0"/>
              <w:adjustRightInd/>
              <w:snapToGrid/>
              <w:spacing w:line="300" w:lineRule="auto"/>
              <w:jc w:val="center"/>
              <w:rPr>
                <w:rFonts w:hint="eastAsia" w:ascii="宋体" w:hAnsi="宋体"/>
                <w:color w:val="auto"/>
                <w:kern w:val="0"/>
                <w:sz w:val="21"/>
                <w:szCs w:val="21"/>
                <w:highlight w:val="none"/>
                <w:lang w:eastAsia="zh-CN"/>
              </w:rPr>
            </w:pPr>
            <w:r>
              <w:rPr>
                <w:rFonts w:hint="eastAsia" w:ascii="宋体"/>
                <w:color w:val="auto"/>
                <w:kern w:val="0"/>
                <w:sz w:val="21"/>
                <w:szCs w:val="21"/>
                <w:highlight w:val="none"/>
                <w:lang w:val="en-US" w:eastAsia="zh-CN"/>
              </w:rPr>
              <w:t>赵雪茹</w:t>
            </w:r>
          </w:p>
        </w:tc>
        <w:tc>
          <w:tcPr>
            <w:tcW w:w="531" w:type="pct"/>
            <w:tcBorders>
              <w:top w:val="single" w:color="auto" w:sz="12" w:space="0"/>
              <w:left w:val="single" w:color="auto" w:sz="8" w:space="0"/>
            </w:tcBorders>
            <w:vAlign w:val="center"/>
          </w:tcPr>
          <w:p w14:paraId="2EB4E2F6">
            <w:pPr>
              <w:keepNext w:val="0"/>
              <w:keepLines w:val="0"/>
              <w:pageBreakBefore w:val="0"/>
              <w:kinsoku/>
              <w:overflowPunct/>
              <w:autoSpaceDE/>
              <w:autoSpaceDN/>
              <w:bidi w:val="0"/>
              <w:adjustRightInd/>
              <w:snapToGrid/>
              <w:spacing w:line="300" w:lineRule="auto"/>
              <w:jc w:val="center"/>
              <w:rPr>
                <w:rFonts w:hint="eastAsia" w:ascii="宋体"/>
                <w:color w:val="auto"/>
                <w:kern w:val="0"/>
                <w:sz w:val="21"/>
                <w:szCs w:val="21"/>
                <w:highlight w:val="none"/>
                <w:lang w:eastAsia="zh-CN"/>
              </w:rPr>
            </w:pPr>
            <w:r>
              <w:rPr>
                <w:rFonts w:hint="eastAsia" w:ascii="宋体"/>
                <w:color w:val="auto"/>
                <w:kern w:val="0"/>
                <w:sz w:val="21"/>
                <w:szCs w:val="21"/>
                <w:highlight w:val="none"/>
                <w:lang w:eastAsia="zh-CN"/>
              </w:rPr>
              <w:t>高春萍</w:t>
            </w:r>
          </w:p>
        </w:tc>
      </w:tr>
      <w:tr w14:paraId="776085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2" w:hRule="atLeast"/>
        </w:trPr>
        <w:tc>
          <w:tcPr>
            <w:tcW w:w="719" w:type="pct"/>
            <w:vAlign w:val="center"/>
          </w:tcPr>
          <w:p w14:paraId="596BB623">
            <w:pPr>
              <w:keepNext w:val="0"/>
              <w:keepLines w:val="0"/>
              <w:pageBreakBefore w:val="0"/>
              <w:kinsoku/>
              <w:overflowPunct/>
              <w:autoSpaceDE/>
              <w:autoSpaceDN/>
              <w:bidi w:val="0"/>
              <w:adjustRightInd/>
              <w:snapToGrid/>
              <w:spacing w:line="300" w:lineRule="auto"/>
              <w:jc w:val="center"/>
              <w:rPr>
                <w:rFonts w:hint="default" w:ascii="宋体"/>
                <w:color w:val="auto"/>
                <w:kern w:val="0"/>
                <w:sz w:val="21"/>
                <w:szCs w:val="21"/>
                <w:highlight w:val="none"/>
                <w:lang w:val="en-US" w:eastAsia="zh-CN"/>
              </w:rPr>
            </w:pPr>
            <w:r>
              <w:rPr>
                <w:rFonts w:hint="eastAsia" w:ascii="宋体"/>
                <w:color w:val="auto"/>
                <w:kern w:val="0"/>
                <w:sz w:val="21"/>
                <w:szCs w:val="21"/>
                <w:highlight w:val="none"/>
                <w:lang w:val="en-US" w:eastAsia="zh-CN"/>
              </w:rPr>
              <w:t>2022.09.20</w:t>
            </w:r>
          </w:p>
        </w:tc>
        <w:tc>
          <w:tcPr>
            <w:tcW w:w="2038" w:type="pct"/>
            <w:tcBorders>
              <w:right w:val="single" w:color="auto" w:sz="8" w:space="0"/>
            </w:tcBorders>
            <w:vAlign w:val="center"/>
          </w:tcPr>
          <w:p w14:paraId="59D67875">
            <w:pPr>
              <w:keepNext w:val="0"/>
              <w:keepLines w:val="0"/>
              <w:pageBreakBefore w:val="0"/>
              <w:numPr>
                <w:ilvl w:val="0"/>
                <w:numId w:val="2"/>
              </w:numPr>
              <w:kinsoku/>
              <w:overflowPunct/>
              <w:autoSpaceDE/>
              <w:autoSpaceDN/>
              <w:bidi w:val="0"/>
              <w:adjustRightInd/>
              <w:snapToGrid/>
              <w:spacing w:line="300" w:lineRule="auto"/>
              <w:jc w:val="both"/>
              <w:rPr>
                <w:rFonts w:hint="eastAsia" w:ascii="宋体"/>
                <w:color w:val="auto"/>
                <w:kern w:val="0"/>
                <w:sz w:val="21"/>
                <w:szCs w:val="21"/>
                <w:highlight w:val="none"/>
                <w:lang w:val="en-US" w:eastAsia="zh-CN"/>
              </w:rPr>
            </w:pPr>
            <w:r>
              <w:rPr>
                <w:rFonts w:hint="eastAsia" w:ascii="宋体"/>
                <w:color w:val="auto"/>
                <w:kern w:val="0"/>
                <w:sz w:val="21"/>
                <w:szCs w:val="21"/>
                <w:highlight w:val="none"/>
                <w:lang w:val="en-US" w:eastAsia="zh-CN"/>
              </w:rPr>
              <w:t>根据认监委28号公告对文件进行修订</w:t>
            </w:r>
          </w:p>
          <w:p w14:paraId="397F5F7A">
            <w:pPr>
              <w:keepNext w:val="0"/>
              <w:keepLines w:val="0"/>
              <w:pageBreakBefore w:val="0"/>
              <w:numPr>
                <w:ilvl w:val="0"/>
                <w:numId w:val="2"/>
              </w:numPr>
              <w:kinsoku/>
              <w:overflowPunct/>
              <w:autoSpaceDE/>
              <w:autoSpaceDN/>
              <w:bidi w:val="0"/>
              <w:adjustRightInd/>
              <w:snapToGrid/>
              <w:spacing w:line="300" w:lineRule="auto"/>
              <w:jc w:val="both"/>
              <w:rPr>
                <w:rFonts w:hint="default" w:ascii="宋体"/>
                <w:color w:val="auto"/>
                <w:kern w:val="0"/>
                <w:sz w:val="21"/>
                <w:szCs w:val="21"/>
                <w:highlight w:val="none"/>
                <w:lang w:val="en-US" w:eastAsia="zh-CN"/>
              </w:rPr>
            </w:pPr>
            <w:r>
              <w:rPr>
                <w:rFonts w:hint="eastAsia" w:ascii="宋体"/>
                <w:color w:val="auto"/>
                <w:kern w:val="0"/>
                <w:sz w:val="21"/>
                <w:szCs w:val="21"/>
                <w:highlight w:val="none"/>
                <w:lang w:val="en-US" w:eastAsia="zh-CN"/>
              </w:rPr>
              <w:t>细节调整</w:t>
            </w:r>
          </w:p>
        </w:tc>
        <w:tc>
          <w:tcPr>
            <w:tcW w:w="564" w:type="pct"/>
            <w:tcBorders>
              <w:right w:val="single" w:color="auto" w:sz="8" w:space="0"/>
            </w:tcBorders>
            <w:vAlign w:val="center"/>
          </w:tcPr>
          <w:p w14:paraId="1E7C5F88">
            <w:pPr>
              <w:keepNext w:val="0"/>
              <w:keepLines w:val="0"/>
              <w:pageBreakBefore w:val="0"/>
              <w:kinsoku/>
              <w:overflowPunct/>
              <w:autoSpaceDE/>
              <w:autoSpaceDN/>
              <w:bidi w:val="0"/>
              <w:adjustRightInd/>
              <w:snapToGrid/>
              <w:spacing w:line="300" w:lineRule="auto"/>
              <w:jc w:val="center"/>
              <w:rPr>
                <w:rFonts w:hint="default" w:ascii="宋体"/>
                <w:color w:val="auto"/>
                <w:kern w:val="0"/>
                <w:sz w:val="21"/>
                <w:szCs w:val="21"/>
                <w:highlight w:val="none"/>
                <w:lang w:val="en-US" w:eastAsia="zh-CN"/>
              </w:rPr>
            </w:pPr>
            <w:r>
              <w:rPr>
                <w:rFonts w:hint="eastAsia" w:ascii="宋体"/>
                <w:color w:val="auto"/>
                <w:kern w:val="0"/>
                <w:sz w:val="21"/>
                <w:szCs w:val="21"/>
                <w:highlight w:val="none"/>
                <w:lang w:val="en-US" w:eastAsia="zh-CN"/>
              </w:rPr>
              <w:t>A/1</w:t>
            </w:r>
          </w:p>
        </w:tc>
        <w:tc>
          <w:tcPr>
            <w:tcW w:w="663" w:type="pct"/>
            <w:tcBorders>
              <w:right w:val="single" w:color="auto" w:sz="8" w:space="0"/>
            </w:tcBorders>
            <w:vAlign w:val="center"/>
          </w:tcPr>
          <w:p w14:paraId="7387007E">
            <w:pPr>
              <w:jc w:val="center"/>
              <w:rPr>
                <w:rFonts w:hint="eastAsia" w:ascii="宋体"/>
                <w:color w:val="auto"/>
                <w:kern w:val="0"/>
                <w:sz w:val="21"/>
                <w:szCs w:val="21"/>
                <w:highlight w:val="none"/>
                <w:lang w:eastAsia="zh-CN"/>
              </w:rPr>
            </w:pPr>
            <w:r>
              <w:rPr>
                <w:rFonts w:hint="eastAsia" w:ascii="宋体"/>
                <w:color w:val="auto"/>
                <w:kern w:val="0"/>
                <w:sz w:val="21"/>
                <w:szCs w:val="21"/>
                <w:highlight w:val="none"/>
                <w:lang w:eastAsia="zh-CN"/>
              </w:rPr>
              <w:t>编制小组</w:t>
            </w:r>
          </w:p>
        </w:tc>
        <w:tc>
          <w:tcPr>
            <w:tcW w:w="481" w:type="pct"/>
            <w:tcBorders>
              <w:left w:val="single" w:color="auto" w:sz="8" w:space="0"/>
              <w:right w:val="single" w:color="auto" w:sz="8" w:space="0"/>
            </w:tcBorders>
            <w:vAlign w:val="center"/>
          </w:tcPr>
          <w:p w14:paraId="39C45A85">
            <w:pPr>
              <w:keepNext w:val="0"/>
              <w:keepLines w:val="0"/>
              <w:pageBreakBefore w:val="0"/>
              <w:kinsoku/>
              <w:overflowPunct/>
              <w:autoSpaceDE/>
              <w:autoSpaceDN/>
              <w:bidi w:val="0"/>
              <w:adjustRightInd/>
              <w:snapToGrid/>
              <w:spacing w:line="300" w:lineRule="auto"/>
              <w:jc w:val="center"/>
              <w:rPr>
                <w:rFonts w:hint="eastAsia" w:ascii="宋体"/>
                <w:color w:val="auto"/>
                <w:kern w:val="0"/>
                <w:sz w:val="21"/>
                <w:szCs w:val="21"/>
                <w:highlight w:val="none"/>
                <w:lang w:eastAsia="zh-CN"/>
              </w:rPr>
            </w:pPr>
            <w:r>
              <w:rPr>
                <w:rFonts w:hint="eastAsia" w:ascii="宋体"/>
                <w:color w:val="auto"/>
                <w:kern w:val="0"/>
                <w:sz w:val="21"/>
                <w:szCs w:val="21"/>
                <w:highlight w:val="none"/>
                <w:lang w:val="en-US" w:eastAsia="zh-CN"/>
              </w:rPr>
              <w:t>赵雪茹</w:t>
            </w:r>
          </w:p>
        </w:tc>
        <w:tc>
          <w:tcPr>
            <w:tcW w:w="531" w:type="pct"/>
            <w:tcBorders>
              <w:left w:val="single" w:color="auto" w:sz="8" w:space="0"/>
            </w:tcBorders>
            <w:vAlign w:val="center"/>
          </w:tcPr>
          <w:p w14:paraId="35878EE3">
            <w:pPr>
              <w:keepNext w:val="0"/>
              <w:keepLines w:val="0"/>
              <w:pageBreakBefore w:val="0"/>
              <w:kinsoku/>
              <w:overflowPunct/>
              <w:autoSpaceDE/>
              <w:autoSpaceDN/>
              <w:bidi w:val="0"/>
              <w:adjustRightInd/>
              <w:snapToGrid/>
              <w:spacing w:line="300" w:lineRule="auto"/>
              <w:jc w:val="center"/>
              <w:rPr>
                <w:rFonts w:hint="eastAsia" w:ascii="宋体"/>
                <w:color w:val="auto"/>
                <w:kern w:val="0"/>
                <w:sz w:val="21"/>
                <w:szCs w:val="21"/>
                <w:highlight w:val="none"/>
                <w:lang w:eastAsia="zh-CN"/>
              </w:rPr>
            </w:pPr>
            <w:r>
              <w:rPr>
                <w:rFonts w:hint="eastAsia" w:ascii="宋体"/>
                <w:color w:val="auto"/>
                <w:kern w:val="0"/>
                <w:sz w:val="21"/>
                <w:szCs w:val="21"/>
                <w:highlight w:val="none"/>
                <w:lang w:val="en-US" w:eastAsia="zh-CN"/>
              </w:rPr>
              <w:t>高春萍</w:t>
            </w:r>
          </w:p>
        </w:tc>
      </w:tr>
      <w:tr w14:paraId="6EF08A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2" w:hRule="atLeast"/>
        </w:trPr>
        <w:tc>
          <w:tcPr>
            <w:tcW w:w="719" w:type="pct"/>
            <w:vAlign w:val="center"/>
          </w:tcPr>
          <w:p w14:paraId="352C3A3D">
            <w:pPr>
              <w:jc w:val="center"/>
              <w:rPr>
                <w:rFonts w:hint="eastAsia" w:ascii="宋体"/>
                <w:color w:val="auto"/>
                <w:kern w:val="0"/>
                <w:sz w:val="21"/>
                <w:szCs w:val="21"/>
                <w:highlight w:val="none"/>
                <w:lang w:val="en-US" w:eastAsia="zh-CN"/>
              </w:rPr>
            </w:pPr>
            <w:r>
              <w:rPr>
                <w:rFonts w:hint="eastAsia" w:ascii="宋体"/>
                <w:color w:val="auto"/>
                <w:kern w:val="0"/>
                <w:sz w:val="21"/>
                <w:szCs w:val="21"/>
                <w:highlight w:val="none"/>
                <w:lang w:val="en-US" w:eastAsia="zh-CN"/>
              </w:rPr>
              <w:t>2025.05.23</w:t>
            </w:r>
          </w:p>
        </w:tc>
        <w:tc>
          <w:tcPr>
            <w:tcW w:w="2038" w:type="pct"/>
            <w:tcBorders>
              <w:right w:val="single" w:color="auto" w:sz="8" w:space="0"/>
            </w:tcBorders>
            <w:vAlign w:val="center"/>
          </w:tcPr>
          <w:p w14:paraId="160E8D91">
            <w:pPr>
              <w:keepNext w:val="0"/>
              <w:keepLines w:val="0"/>
              <w:pageBreakBefore w:val="0"/>
              <w:kinsoku/>
              <w:overflowPunct/>
              <w:autoSpaceDE/>
              <w:autoSpaceDN/>
              <w:bidi w:val="0"/>
              <w:adjustRightInd/>
              <w:snapToGrid/>
              <w:spacing w:line="300" w:lineRule="auto"/>
              <w:jc w:val="both"/>
              <w:rPr>
                <w:rFonts w:hint="eastAsia" w:ascii="宋体" w:eastAsia="宋体"/>
                <w:color w:val="auto"/>
                <w:kern w:val="0"/>
                <w:sz w:val="21"/>
                <w:szCs w:val="21"/>
                <w:highlight w:val="none"/>
                <w:lang w:val="en-US" w:eastAsia="zh-CN"/>
              </w:rPr>
            </w:pPr>
            <w:r>
              <w:rPr>
                <w:rFonts w:hint="eastAsia" w:ascii="宋体" w:eastAsia="宋体"/>
                <w:color w:val="auto"/>
                <w:kern w:val="0"/>
                <w:sz w:val="21"/>
                <w:szCs w:val="21"/>
                <w:highlight w:val="none"/>
                <w:lang w:val="en-US" w:eastAsia="zh-CN"/>
              </w:rPr>
              <w:t>1、根据国家认证认可监督管理委员会公告（2025年第9号）《国家认监委关于加强认证规则管理的公告》要求进行修订</w:t>
            </w:r>
          </w:p>
          <w:p w14:paraId="45F50D06">
            <w:pPr>
              <w:keepNext w:val="0"/>
              <w:keepLines w:val="0"/>
              <w:pageBreakBefore w:val="0"/>
              <w:kinsoku/>
              <w:overflowPunct/>
              <w:autoSpaceDE/>
              <w:autoSpaceDN/>
              <w:bidi w:val="0"/>
              <w:adjustRightInd/>
              <w:snapToGrid/>
              <w:spacing w:line="300" w:lineRule="auto"/>
              <w:jc w:val="both"/>
              <w:rPr>
                <w:rFonts w:hint="default" w:ascii="宋体" w:eastAsia="宋体"/>
                <w:color w:val="auto"/>
                <w:kern w:val="0"/>
                <w:sz w:val="21"/>
                <w:szCs w:val="21"/>
                <w:highlight w:val="none"/>
                <w:lang w:val="en-US" w:eastAsia="zh-CN"/>
              </w:rPr>
            </w:pPr>
            <w:r>
              <w:rPr>
                <w:rFonts w:hint="eastAsia" w:ascii="宋体" w:eastAsia="宋体"/>
                <w:color w:val="auto"/>
                <w:kern w:val="0"/>
                <w:sz w:val="21"/>
                <w:szCs w:val="21"/>
                <w:highlight w:val="none"/>
                <w:lang w:val="en-US" w:eastAsia="zh-CN"/>
              </w:rPr>
              <w:t>2、按照认可要求对体系文件进行修订</w:t>
            </w:r>
          </w:p>
        </w:tc>
        <w:tc>
          <w:tcPr>
            <w:tcW w:w="564" w:type="pct"/>
            <w:tcBorders>
              <w:right w:val="single" w:color="auto" w:sz="8" w:space="0"/>
            </w:tcBorders>
            <w:vAlign w:val="center"/>
          </w:tcPr>
          <w:p w14:paraId="3D1D972D">
            <w:pPr>
              <w:jc w:val="center"/>
              <w:rPr>
                <w:rFonts w:hint="default" w:ascii="宋体"/>
                <w:color w:val="auto"/>
                <w:kern w:val="0"/>
                <w:sz w:val="21"/>
                <w:szCs w:val="21"/>
                <w:highlight w:val="none"/>
                <w:lang w:val="en-US" w:eastAsia="zh-CN"/>
              </w:rPr>
            </w:pPr>
            <w:r>
              <w:rPr>
                <w:rFonts w:hint="eastAsia" w:ascii="宋体"/>
                <w:color w:val="auto"/>
                <w:kern w:val="0"/>
                <w:sz w:val="21"/>
                <w:szCs w:val="21"/>
                <w:highlight w:val="none"/>
                <w:lang w:val="en-US" w:eastAsia="zh-CN"/>
              </w:rPr>
              <w:t>A/2</w:t>
            </w:r>
          </w:p>
        </w:tc>
        <w:tc>
          <w:tcPr>
            <w:tcW w:w="663" w:type="pct"/>
            <w:tcBorders>
              <w:right w:val="single" w:color="auto" w:sz="8" w:space="0"/>
            </w:tcBorders>
            <w:vAlign w:val="center"/>
          </w:tcPr>
          <w:p w14:paraId="51CEA110">
            <w:pPr>
              <w:jc w:val="center"/>
              <w:rPr>
                <w:rFonts w:hint="eastAsia" w:ascii="宋体"/>
                <w:color w:val="auto"/>
                <w:kern w:val="0"/>
                <w:sz w:val="21"/>
                <w:szCs w:val="21"/>
                <w:highlight w:val="none"/>
                <w:lang w:eastAsia="zh-CN"/>
              </w:rPr>
            </w:pPr>
            <w:r>
              <w:rPr>
                <w:rFonts w:hint="eastAsia" w:ascii="宋体"/>
                <w:color w:val="auto"/>
                <w:kern w:val="0"/>
                <w:sz w:val="21"/>
                <w:szCs w:val="21"/>
                <w:highlight w:val="none"/>
                <w:lang w:eastAsia="zh-CN"/>
              </w:rPr>
              <w:t>编制小组</w:t>
            </w:r>
          </w:p>
        </w:tc>
        <w:tc>
          <w:tcPr>
            <w:tcW w:w="481" w:type="pct"/>
            <w:tcBorders>
              <w:left w:val="single" w:color="auto" w:sz="8" w:space="0"/>
              <w:right w:val="single" w:color="auto" w:sz="8" w:space="0"/>
            </w:tcBorders>
            <w:vAlign w:val="center"/>
          </w:tcPr>
          <w:p w14:paraId="15322B85">
            <w:pPr>
              <w:keepNext w:val="0"/>
              <w:keepLines w:val="0"/>
              <w:pageBreakBefore w:val="0"/>
              <w:kinsoku/>
              <w:overflowPunct/>
              <w:autoSpaceDE/>
              <w:autoSpaceDN/>
              <w:bidi w:val="0"/>
              <w:adjustRightInd/>
              <w:snapToGrid/>
              <w:spacing w:line="300" w:lineRule="auto"/>
              <w:jc w:val="center"/>
              <w:rPr>
                <w:rFonts w:hint="default" w:ascii="宋体"/>
                <w:color w:val="auto"/>
                <w:kern w:val="0"/>
                <w:sz w:val="21"/>
                <w:szCs w:val="21"/>
                <w:highlight w:val="none"/>
                <w:lang w:val="en-US" w:eastAsia="zh-CN"/>
              </w:rPr>
            </w:pPr>
            <w:r>
              <w:rPr>
                <w:rFonts w:hint="eastAsia" w:ascii="宋体"/>
                <w:color w:val="auto"/>
                <w:kern w:val="0"/>
                <w:sz w:val="21"/>
                <w:szCs w:val="21"/>
                <w:highlight w:val="none"/>
                <w:lang w:val="en-US" w:eastAsia="zh-CN"/>
              </w:rPr>
              <w:t>赵雪茹</w:t>
            </w:r>
          </w:p>
        </w:tc>
        <w:tc>
          <w:tcPr>
            <w:tcW w:w="531" w:type="pct"/>
            <w:tcBorders>
              <w:left w:val="single" w:color="auto" w:sz="8" w:space="0"/>
            </w:tcBorders>
            <w:vAlign w:val="center"/>
          </w:tcPr>
          <w:p w14:paraId="04AA0C3F">
            <w:pPr>
              <w:keepNext w:val="0"/>
              <w:keepLines w:val="0"/>
              <w:pageBreakBefore w:val="0"/>
              <w:kinsoku/>
              <w:overflowPunct/>
              <w:autoSpaceDE/>
              <w:autoSpaceDN/>
              <w:bidi w:val="0"/>
              <w:adjustRightInd/>
              <w:snapToGrid/>
              <w:spacing w:line="300" w:lineRule="auto"/>
              <w:jc w:val="center"/>
              <w:rPr>
                <w:rFonts w:hint="default" w:ascii="宋体"/>
                <w:color w:val="auto"/>
                <w:kern w:val="0"/>
                <w:sz w:val="21"/>
                <w:szCs w:val="21"/>
                <w:highlight w:val="none"/>
                <w:lang w:val="en-US" w:eastAsia="zh-CN"/>
              </w:rPr>
            </w:pPr>
            <w:r>
              <w:rPr>
                <w:rFonts w:hint="eastAsia" w:ascii="宋体"/>
                <w:color w:val="auto"/>
                <w:kern w:val="0"/>
                <w:sz w:val="21"/>
                <w:szCs w:val="21"/>
                <w:highlight w:val="none"/>
                <w:lang w:val="en-US" w:eastAsia="zh-CN"/>
              </w:rPr>
              <w:t>高春萍</w:t>
            </w:r>
          </w:p>
        </w:tc>
      </w:tr>
      <w:tr w14:paraId="6C313F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2" w:hRule="atLeast"/>
        </w:trPr>
        <w:tc>
          <w:tcPr>
            <w:tcW w:w="719" w:type="pct"/>
            <w:vAlign w:val="center"/>
          </w:tcPr>
          <w:p w14:paraId="39B08DCF">
            <w:pPr>
              <w:jc w:val="center"/>
              <w:rPr>
                <w:rFonts w:hint="eastAsia" w:ascii="宋体"/>
                <w:color w:val="auto"/>
                <w:kern w:val="0"/>
                <w:sz w:val="21"/>
                <w:szCs w:val="21"/>
                <w:highlight w:val="none"/>
                <w:lang w:val="en-US" w:eastAsia="zh-CN"/>
              </w:rPr>
            </w:pPr>
            <w:r>
              <w:rPr>
                <w:rFonts w:hint="eastAsia" w:ascii="宋体"/>
                <w:color w:val="auto"/>
                <w:kern w:val="0"/>
                <w:sz w:val="21"/>
                <w:szCs w:val="21"/>
                <w:highlight w:val="none"/>
                <w:lang w:val="en-US" w:eastAsia="zh-CN"/>
              </w:rPr>
              <w:t>2026.01.01</w:t>
            </w:r>
          </w:p>
        </w:tc>
        <w:tc>
          <w:tcPr>
            <w:tcW w:w="2038" w:type="pct"/>
            <w:tcBorders>
              <w:right w:val="single" w:color="auto" w:sz="8" w:space="0"/>
            </w:tcBorders>
            <w:vAlign w:val="center"/>
          </w:tcPr>
          <w:p w14:paraId="6C7AF35A">
            <w:pPr>
              <w:keepNext w:val="0"/>
              <w:keepLines w:val="0"/>
              <w:pageBreakBefore w:val="0"/>
              <w:kinsoku/>
              <w:overflowPunct/>
              <w:autoSpaceDE/>
              <w:autoSpaceDN/>
              <w:bidi w:val="0"/>
              <w:adjustRightInd/>
              <w:snapToGrid/>
              <w:spacing w:line="300" w:lineRule="auto"/>
              <w:jc w:val="both"/>
              <w:rPr>
                <w:rFonts w:hint="eastAsia" w:ascii="宋体" w:eastAsia="宋体"/>
                <w:color w:val="auto"/>
                <w:kern w:val="0"/>
                <w:sz w:val="21"/>
                <w:szCs w:val="21"/>
                <w:highlight w:val="none"/>
                <w:lang w:val="en-US" w:eastAsia="zh-CN"/>
              </w:rPr>
            </w:pPr>
            <w:r>
              <w:rPr>
                <w:rFonts w:hint="eastAsia" w:ascii="宋体" w:eastAsia="宋体"/>
                <w:color w:val="auto"/>
                <w:kern w:val="0"/>
                <w:sz w:val="21"/>
                <w:szCs w:val="21"/>
                <w:highlight w:val="none"/>
                <w:lang w:val="en-US" w:eastAsia="zh-CN"/>
              </w:rPr>
              <w:t>1、</w:t>
            </w:r>
            <w:r>
              <w:rPr>
                <w:rFonts w:hint="default" w:ascii="宋体" w:eastAsia="宋体"/>
                <w:color w:val="auto"/>
                <w:kern w:val="0"/>
                <w:sz w:val="21"/>
                <w:szCs w:val="21"/>
                <w:highlight w:val="none"/>
                <w:lang w:val="en-US" w:eastAsia="zh-CN"/>
              </w:rPr>
              <w:t>根据《质量管理体系认证规则》要求进行修订</w:t>
            </w:r>
          </w:p>
        </w:tc>
        <w:tc>
          <w:tcPr>
            <w:tcW w:w="564" w:type="pct"/>
            <w:tcBorders>
              <w:right w:val="single" w:color="auto" w:sz="8" w:space="0"/>
            </w:tcBorders>
            <w:vAlign w:val="center"/>
          </w:tcPr>
          <w:p w14:paraId="18285F1A">
            <w:pPr>
              <w:jc w:val="center"/>
              <w:rPr>
                <w:rFonts w:hint="default" w:ascii="宋体"/>
                <w:color w:val="auto"/>
                <w:kern w:val="0"/>
                <w:sz w:val="21"/>
                <w:szCs w:val="21"/>
                <w:highlight w:val="none"/>
                <w:lang w:val="en-US" w:eastAsia="zh-CN"/>
              </w:rPr>
            </w:pPr>
            <w:r>
              <w:rPr>
                <w:rFonts w:hint="eastAsia" w:ascii="宋体"/>
                <w:color w:val="auto"/>
                <w:kern w:val="0"/>
                <w:sz w:val="21"/>
                <w:szCs w:val="21"/>
                <w:highlight w:val="none"/>
                <w:lang w:val="en-US" w:eastAsia="zh-CN"/>
              </w:rPr>
              <w:t>A/3</w:t>
            </w:r>
          </w:p>
        </w:tc>
        <w:tc>
          <w:tcPr>
            <w:tcW w:w="663" w:type="pct"/>
            <w:tcBorders>
              <w:right w:val="single" w:color="auto" w:sz="8" w:space="0"/>
            </w:tcBorders>
            <w:vAlign w:val="center"/>
          </w:tcPr>
          <w:p w14:paraId="46F7AA41">
            <w:pPr>
              <w:jc w:val="center"/>
              <w:rPr>
                <w:rFonts w:hint="eastAsia" w:ascii="宋体"/>
                <w:color w:val="auto"/>
                <w:kern w:val="0"/>
                <w:sz w:val="21"/>
                <w:szCs w:val="21"/>
                <w:highlight w:val="none"/>
                <w:lang w:eastAsia="zh-CN"/>
              </w:rPr>
            </w:pPr>
            <w:r>
              <w:rPr>
                <w:rFonts w:hint="eastAsia" w:ascii="宋体"/>
                <w:color w:val="auto"/>
                <w:kern w:val="0"/>
                <w:sz w:val="21"/>
                <w:szCs w:val="21"/>
                <w:highlight w:val="none"/>
                <w:lang w:eastAsia="zh-CN"/>
              </w:rPr>
              <w:t>编制小组</w:t>
            </w:r>
          </w:p>
        </w:tc>
        <w:tc>
          <w:tcPr>
            <w:tcW w:w="481" w:type="pct"/>
            <w:tcBorders>
              <w:left w:val="single" w:color="auto" w:sz="8" w:space="0"/>
              <w:right w:val="single" w:color="auto" w:sz="8" w:space="0"/>
            </w:tcBorders>
            <w:vAlign w:val="center"/>
          </w:tcPr>
          <w:p w14:paraId="41C6EA13">
            <w:pPr>
              <w:keepNext w:val="0"/>
              <w:keepLines w:val="0"/>
              <w:pageBreakBefore w:val="0"/>
              <w:kinsoku/>
              <w:overflowPunct/>
              <w:autoSpaceDE/>
              <w:autoSpaceDN/>
              <w:bidi w:val="0"/>
              <w:adjustRightInd/>
              <w:snapToGrid/>
              <w:spacing w:line="300" w:lineRule="auto"/>
              <w:jc w:val="center"/>
              <w:rPr>
                <w:rFonts w:hint="eastAsia" w:ascii="宋体"/>
                <w:color w:val="auto"/>
                <w:kern w:val="0"/>
                <w:sz w:val="21"/>
                <w:szCs w:val="21"/>
                <w:highlight w:val="none"/>
                <w:lang w:val="en-US" w:eastAsia="zh-CN"/>
              </w:rPr>
            </w:pPr>
            <w:r>
              <w:rPr>
                <w:rFonts w:hint="eastAsia" w:ascii="宋体"/>
                <w:color w:val="auto"/>
                <w:kern w:val="0"/>
                <w:sz w:val="21"/>
                <w:szCs w:val="21"/>
                <w:highlight w:val="none"/>
                <w:lang w:val="en-US" w:eastAsia="zh-CN"/>
              </w:rPr>
              <w:t>赵雪茹</w:t>
            </w:r>
          </w:p>
        </w:tc>
        <w:tc>
          <w:tcPr>
            <w:tcW w:w="531" w:type="pct"/>
            <w:tcBorders>
              <w:left w:val="single" w:color="auto" w:sz="8" w:space="0"/>
            </w:tcBorders>
            <w:vAlign w:val="center"/>
          </w:tcPr>
          <w:p w14:paraId="0E13C87E">
            <w:pPr>
              <w:keepNext w:val="0"/>
              <w:keepLines w:val="0"/>
              <w:pageBreakBefore w:val="0"/>
              <w:kinsoku/>
              <w:overflowPunct/>
              <w:autoSpaceDE/>
              <w:autoSpaceDN/>
              <w:bidi w:val="0"/>
              <w:adjustRightInd/>
              <w:snapToGrid/>
              <w:spacing w:line="300" w:lineRule="auto"/>
              <w:jc w:val="center"/>
              <w:rPr>
                <w:rFonts w:hint="eastAsia" w:ascii="宋体"/>
                <w:color w:val="auto"/>
                <w:kern w:val="0"/>
                <w:sz w:val="21"/>
                <w:szCs w:val="21"/>
                <w:highlight w:val="none"/>
                <w:lang w:val="en-US" w:eastAsia="zh-CN"/>
              </w:rPr>
            </w:pPr>
            <w:r>
              <w:rPr>
                <w:rFonts w:hint="eastAsia" w:ascii="宋体"/>
                <w:color w:val="auto"/>
                <w:kern w:val="0"/>
                <w:sz w:val="21"/>
                <w:szCs w:val="21"/>
                <w:highlight w:val="none"/>
                <w:lang w:val="en-US" w:eastAsia="zh-CN"/>
              </w:rPr>
              <w:t>高春萍</w:t>
            </w:r>
          </w:p>
        </w:tc>
      </w:tr>
      <w:tr w14:paraId="6D889F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2" w:hRule="atLeast"/>
        </w:trPr>
        <w:tc>
          <w:tcPr>
            <w:tcW w:w="719" w:type="pct"/>
            <w:vAlign w:val="center"/>
          </w:tcPr>
          <w:p w14:paraId="69E2B80B">
            <w:pPr>
              <w:jc w:val="center"/>
              <w:rPr>
                <w:rFonts w:hint="eastAsia" w:ascii="宋体"/>
                <w:color w:val="auto"/>
                <w:kern w:val="0"/>
                <w:sz w:val="21"/>
                <w:szCs w:val="21"/>
                <w:highlight w:val="none"/>
                <w:lang w:val="en-US" w:eastAsia="zh-CN"/>
              </w:rPr>
            </w:pPr>
            <w:r>
              <w:rPr>
                <w:rFonts w:hint="eastAsia" w:ascii="宋体"/>
                <w:color w:val="auto"/>
                <w:kern w:val="0"/>
                <w:sz w:val="21"/>
                <w:szCs w:val="21"/>
                <w:highlight w:val="none"/>
                <w:lang w:val="en-US" w:eastAsia="zh-CN"/>
              </w:rPr>
              <w:t>2026.03.01</w:t>
            </w:r>
          </w:p>
        </w:tc>
        <w:tc>
          <w:tcPr>
            <w:tcW w:w="2038" w:type="pct"/>
            <w:tcBorders>
              <w:right w:val="single" w:color="auto" w:sz="8" w:space="0"/>
            </w:tcBorders>
            <w:vAlign w:val="center"/>
          </w:tcPr>
          <w:p w14:paraId="2976B0D6">
            <w:pPr>
              <w:keepNext w:val="0"/>
              <w:keepLines w:val="0"/>
              <w:pageBreakBefore w:val="0"/>
              <w:kinsoku/>
              <w:overflowPunct/>
              <w:autoSpaceDE/>
              <w:autoSpaceDN/>
              <w:bidi w:val="0"/>
              <w:adjustRightInd/>
              <w:snapToGrid/>
              <w:spacing w:line="300" w:lineRule="auto"/>
              <w:jc w:val="both"/>
              <w:rPr>
                <w:rFonts w:hint="eastAsia" w:ascii="宋体" w:eastAsia="宋体"/>
                <w:color w:val="auto"/>
                <w:kern w:val="0"/>
                <w:sz w:val="21"/>
                <w:szCs w:val="21"/>
                <w:highlight w:val="none"/>
                <w:lang w:val="en-US" w:eastAsia="zh-CN"/>
              </w:rPr>
            </w:pPr>
            <w:r>
              <w:rPr>
                <w:rFonts w:hint="eastAsia" w:ascii="宋体" w:eastAsia="宋体"/>
                <w:color w:val="auto"/>
                <w:kern w:val="0"/>
                <w:sz w:val="21"/>
                <w:szCs w:val="21"/>
                <w:highlight w:val="none"/>
                <w:lang w:val="en-US" w:eastAsia="zh-CN"/>
              </w:rPr>
              <w:t>1、</w:t>
            </w:r>
            <w:r>
              <w:rPr>
                <w:rFonts w:hint="default" w:ascii="宋体" w:eastAsia="宋体"/>
                <w:color w:val="auto"/>
                <w:kern w:val="0"/>
                <w:sz w:val="21"/>
                <w:szCs w:val="21"/>
                <w:highlight w:val="none"/>
                <w:lang w:val="en-US" w:eastAsia="zh-CN"/>
              </w:rPr>
              <w:t>根据</w:t>
            </w:r>
            <w:r>
              <w:rPr>
                <w:rFonts w:hint="eastAsia" w:ascii="宋体" w:eastAsia="宋体"/>
                <w:color w:val="auto"/>
                <w:kern w:val="0"/>
                <w:sz w:val="21"/>
                <w:szCs w:val="21"/>
                <w:highlight w:val="none"/>
                <w:lang w:val="en-US" w:eastAsia="zh-CN"/>
              </w:rPr>
              <w:t>2026版《环境管理体系认证规则》、2026版《职业健康安全管理体系认证规则》</w:t>
            </w:r>
            <w:r>
              <w:rPr>
                <w:rFonts w:hint="default" w:ascii="宋体" w:eastAsia="宋体"/>
                <w:color w:val="auto"/>
                <w:kern w:val="0"/>
                <w:sz w:val="21"/>
                <w:szCs w:val="21"/>
                <w:highlight w:val="none"/>
                <w:lang w:val="en-US" w:eastAsia="zh-CN"/>
              </w:rPr>
              <w:t>要求进行修订</w:t>
            </w:r>
          </w:p>
        </w:tc>
        <w:tc>
          <w:tcPr>
            <w:tcW w:w="564" w:type="pct"/>
            <w:tcBorders>
              <w:right w:val="single" w:color="auto" w:sz="8" w:space="0"/>
            </w:tcBorders>
            <w:vAlign w:val="center"/>
          </w:tcPr>
          <w:p w14:paraId="71B65D6E">
            <w:pPr>
              <w:jc w:val="center"/>
              <w:rPr>
                <w:rFonts w:hint="default" w:ascii="宋体"/>
                <w:color w:val="auto"/>
                <w:kern w:val="0"/>
                <w:sz w:val="21"/>
                <w:szCs w:val="21"/>
                <w:highlight w:val="none"/>
                <w:lang w:val="en-US" w:eastAsia="zh-CN"/>
              </w:rPr>
            </w:pPr>
            <w:r>
              <w:rPr>
                <w:rFonts w:hint="eastAsia" w:ascii="宋体"/>
                <w:color w:val="auto"/>
                <w:kern w:val="0"/>
                <w:sz w:val="21"/>
                <w:szCs w:val="21"/>
                <w:highlight w:val="none"/>
                <w:lang w:val="en-US" w:eastAsia="zh-CN"/>
              </w:rPr>
              <w:t>B/0</w:t>
            </w:r>
          </w:p>
        </w:tc>
        <w:tc>
          <w:tcPr>
            <w:tcW w:w="663" w:type="pct"/>
            <w:tcBorders>
              <w:right w:val="single" w:color="auto" w:sz="8" w:space="0"/>
            </w:tcBorders>
            <w:vAlign w:val="center"/>
          </w:tcPr>
          <w:p w14:paraId="28150487">
            <w:pPr>
              <w:jc w:val="center"/>
              <w:rPr>
                <w:rFonts w:hint="eastAsia" w:ascii="宋体"/>
                <w:color w:val="auto"/>
                <w:kern w:val="0"/>
                <w:sz w:val="21"/>
                <w:szCs w:val="21"/>
                <w:highlight w:val="none"/>
                <w:lang w:eastAsia="zh-CN"/>
              </w:rPr>
            </w:pPr>
            <w:r>
              <w:rPr>
                <w:rFonts w:hint="eastAsia" w:ascii="宋体"/>
                <w:color w:val="auto"/>
                <w:kern w:val="0"/>
                <w:sz w:val="21"/>
                <w:szCs w:val="21"/>
                <w:highlight w:val="none"/>
                <w:lang w:eastAsia="zh-CN"/>
              </w:rPr>
              <w:t>编制小组</w:t>
            </w:r>
          </w:p>
        </w:tc>
        <w:tc>
          <w:tcPr>
            <w:tcW w:w="481" w:type="pct"/>
            <w:tcBorders>
              <w:left w:val="single" w:color="auto" w:sz="8" w:space="0"/>
              <w:right w:val="single" w:color="auto" w:sz="8" w:space="0"/>
            </w:tcBorders>
            <w:vAlign w:val="center"/>
          </w:tcPr>
          <w:p w14:paraId="4B4EC3BA">
            <w:pPr>
              <w:keepNext w:val="0"/>
              <w:keepLines w:val="0"/>
              <w:pageBreakBefore w:val="0"/>
              <w:kinsoku/>
              <w:overflowPunct/>
              <w:autoSpaceDE/>
              <w:autoSpaceDN/>
              <w:bidi w:val="0"/>
              <w:adjustRightInd/>
              <w:snapToGrid/>
              <w:spacing w:line="300" w:lineRule="auto"/>
              <w:jc w:val="center"/>
              <w:rPr>
                <w:rFonts w:hint="eastAsia" w:ascii="宋体"/>
                <w:color w:val="auto"/>
                <w:kern w:val="0"/>
                <w:sz w:val="21"/>
                <w:szCs w:val="21"/>
                <w:highlight w:val="none"/>
                <w:lang w:val="en-US" w:eastAsia="zh-CN"/>
              </w:rPr>
            </w:pPr>
            <w:r>
              <w:rPr>
                <w:rFonts w:hint="eastAsia" w:ascii="宋体"/>
                <w:color w:val="auto"/>
                <w:kern w:val="0"/>
                <w:sz w:val="21"/>
                <w:szCs w:val="21"/>
                <w:highlight w:val="none"/>
                <w:lang w:val="en-US" w:eastAsia="zh-CN"/>
              </w:rPr>
              <w:t>赵雪茹</w:t>
            </w:r>
          </w:p>
        </w:tc>
        <w:tc>
          <w:tcPr>
            <w:tcW w:w="531" w:type="pct"/>
            <w:tcBorders>
              <w:left w:val="single" w:color="auto" w:sz="8" w:space="0"/>
            </w:tcBorders>
            <w:vAlign w:val="center"/>
          </w:tcPr>
          <w:p w14:paraId="0FC756BF">
            <w:pPr>
              <w:keepNext w:val="0"/>
              <w:keepLines w:val="0"/>
              <w:pageBreakBefore w:val="0"/>
              <w:kinsoku/>
              <w:overflowPunct/>
              <w:autoSpaceDE/>
              <w:autoSpaceDN/>
              <w:bidi w:val="0"/>
              <w:adjustRightInd/>
              <w:snapToGrid/>
              <w:spacing w:line="300" w:lineRule="auto"/>
              <w:jc w:val="center"/>
              <w:rPr>
                <w:rFonts w:hint="eastAsia" w:ascii="宋体"/>
                <w:color w:val="auto"/>
                <w:kern w:val="0"/>
                <w:sz w:val="21"/>
                <w:szCs w:val="21"/>
                <w:highlight w:val="none"/>
                <w:lang w:val="en-US" w:eastAsia="zh-CN"/>
              </w:rPr>
            </w:pPr>
            <w:r>
              <w:rPr>
                <w:rFonts w:hint="eastAsia" w:ascii="宋体"/>
                <w:color w:val="auto"/>
                <w:kern w:val="0"/>
                <w:sz w:val="21"/>
                <w:szCs w:val="21"/>
                <w:highlight w:val="none"/>
                <w:lang w:val="en-US" w:eastAsia="zh-CN"/>
              </w:rPr>
              <w:t>高春萍</w:t>
            </w:r>
          </w:p>
        </w:tc>
      </w:tr>
    </w:tbl>
    <w:p w14:paraId="696A85A5">
      <w:pPr>
        <w:rPr>
          <w:rFonts w:hint="eastAsia" w:ascii="黑体" w:hAnsi="黑体" w:eastAsia="黑体" w:cs="黑体"/>
          <w:b/>
          <w:bCs/>
          <w:color w:val="auto"/>
          <w:sz w:val="28"/>
          <w:szCs w:val="28"/>
          <w:highlight w:val="none"/>
          <w:lang w:eastAsia="zh-CN"/>
        </w:rPr>
      </w:pPr>
      <w:r>
        <w:rPr>
          <w:rFonts w:hint="eastAsia" w:ascii="黑体" w:hAnsi="黑体" w:eastAsia="黑体" w:cs="黑体"/>
          <w:b/>
          <w:bCs/>
          <w:color w:val="auto"/>
          <w:sz w:val="28"/>
          <w:szCs w:val="28"/>
          <w:highlight w:val="none"/>
          <w:lang w:eastAsia="zh-CN"/>
        </w:rPr>
        <w:br w:type="page"/>
      </w:r>
    </w:p>
    <w:bookmarkEnd w:id="1"/>
    <w:p w14:paraId="4DD24A9A">
      <w:pPr>
        <w:pageBreakBefore w:val="0"/>
        <w:shd w:val="clear"/>
        <w:kinsoku/>
        <w:overflowPunct/>
        <w:topLinePunct w:val="0"/>
        <w:autoSpaceDE/>
        <w:autoSpaceDN/>
        <w:bidi w:val="0"/>
        <w:outlineLvl w:val="9"/>
        <w:rPr>
          <w:color w:val="auto"/>
          <w:highlight w:val="none"/>
        </w:rPr>
      </w:pPr>
      <w:r>
        <w:rPr>
          <w:rFonts w:hint="eastAsia" w:ascii="宋体" w:hAnsi="宋体" w:eastAsia="MS Mincho" w:cs="宋体"/>
          <w:color w:val="auto"/>
          <w:sz w:val="24"/>
          <w:highlight w:val="none"/>
          <w:lang w:eastAsia="ja-JP"/>
        </w:rPr>
        <w:t xml:space="preserve">  </w:t>
      </w:r>
    </w:p>
    <w:sdt>
      <w:sdtPr>
        <w:rPr>
          <w:rFonts w:ascii="宋体" w:hAnsi="宋体" w:eastAsia="宋体" w:cs="Times New Roman"/>
          <w:color w:val="auto"/>
          <w:kern w:val="2"/>
          <w:sz w:val="21"/>
          <w:szCs w:val="24"/>
          <w:highlight w:val="none"/>
          <w:lang w:val="en-US" w:eastAsia="zh-CN" w:bidi="ar-SA"/>
        </w:rPr>
        <w:id w:val="147471127"/>
        <w15:color w:val="DBDBDB"/>
        <w:docPartObj>
          <w:docPartGallery w:val="Table of Contents"/>
          <w:docPartUnique/>
        </w:docPartObj>
      </w:sdtPr>
      <w:sdtEndPr>
        <w:rPr>
          <w:rFonts w:ascii="宋体" w:hAnsi="宋体" w:eastAsia="宋体" w:cs="Times New Roman"/>
          <w:color w:val="auto"/>
          <w:kern w:val="2"/>
          <w:sz w:val="21"/>
          <w:szCs w:val="24"/>
          <w:highlight w:val="none"/>
          <w:lang w:val="en-US" w:eastAsia="zh-CN" w:bidi="ar-SA"/>
        </w:rPr>
      </w:sdtEndPr>
      <w:sdtContent>
        <w:p w14:paraId="039811EC">
          <w:pPr>
            <w:pageBreakBefore w:val="0"/>
            <w:shd w:val="clear"/>
            <w:kinsoku/>
            <w:overflowPunct/>
            <w:topLinePunct w:val="0"/>
            <w:autoSpaceDE/>
            <w:autoSpaceDN/>
            <w:bidi w:val="0"/>
            <w:outlineLvl w:val="9"/>
            <w:rPr>
              <w:rFonts w:ascii="宋体" w:hAnsi="宋体" w:eastAsia="宋体" w:cs="Times New Roman"/>
              <w:color w:val="auto"/>
              <w:kern w:val="2"/>
              <w:sz w:val="21"/>
              <w:szCs w:val="24"/>
              <w:highlight w:val="none"/>
              <w:lang w:val="en-US" w:eastAsia="zh-CN" w:bidi="ar-SA"/>
            </w:rPr>
          </w:pPr>
        </w:p>
        <w:p w14:paraId="47535054">
          <w:pPr>
            <w:shd w:val="clear"/>
            <w:spacing w:before="0" w:beforeLines="0" w:after="0" w:afterLines="0" w:line="240" w:lineRule="auto"/>
            <w:ind w:left="0" w:leftChars="0" w:right="0" w:rightChars="0" w:firstLine="0" w:firstLineChars="0"/>
            <w:jc w:val="center"/>
            <w:rPr>
              <w:rFonts w:ascii="宋体" w:hAnsi="宋体" w:eastAsia="宋体"/>
              <w:b/>
              <w:bCs/>
              <w:color w:val="auto"/>
              <w:sz w:val="48"/>
              <w:szCs w:val="56"/>
              <w:highlight w:val="none"/>
            </w:rPr>
          </w:pPr>
          <w:r>
            <w:rPr>
              <w:rFonts w:ascii="宋体" w:hAnsi="宋体" w:eastAsia="宋体"/>
              <w:b/>
              <w:bCs/>
              <w:color w:val="auto"/>
              <w:sz w:val="48"/>
              <w:szCs w:val="56"/>
              <w:highlight w:val="none"/>
            </w:rPr>
            <w:t>目</w:t>
          </w:r>
          <w:r>
            <w:rPr>
              <w:rFonts w:hint="eastAsia" w:ascii="宋体" w:hAnsi="宋体"/>
              <w:b/>
              <w:bCs/>
              <w:color w:val="auto"/>
              <w:sz w:val="48"/>
              <w:szCs w:val="56"/>
              <w:highlight w:val="none"/>
              <w:lang w:val="en-US" w:eastAsia="zh-CN"/>
            </w:rPr>
            <w:t xml:space="preserve">  </w:t>
          </w:r>
          <w:r>
            <w:rPr>
              <w:rFonts w:ascii="宋体" w:hAnsi="宋体" w:eastAsia="宋体"/>
              <w:b/>
              <w:bCs/>
              <w:color w:val="auto"/>
              <w:sz w:val="48"/>
              <w:szCs w:val="56"/>
              <w:highlight w:val="none"/>
            </w:rPr>
            <w:t>录</w:t>
          </w:r>
        </w:p>
        <w:p w14:paraId="597CA49A">
          <w:pPr>
            <w:keepNext w:val="0"/>
            <w:keepLines w:val="0"/>
            <w:pageBreakBefore w:val="0"/>
            <w:widowControl w:val="0"/>
            <w:shd w:val="clear"/>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rPr>
              <w:rFonts w:ascii="宋体" w:hAnsi="宋体" w:eastAsia="宋体"/>
              <w:color w:val="auto"/>
              <w:sz w:val="21"/>
              <w:highlight w:val="none"/>
            </w:rPr>
          </w:pPr>
        </w:p>
        <w:p w14:paraId="131051A2">
          <w:pPr>
            <w:pStyle w:val="27"/>
            <w:tabs>
              <w:tab w:val="right" w:leader="middleDot" w:pos="9610"/>
              <w:tab w:val="clear" w:pos="320"/>
              <w:tab w:val="clear" w:pos="9060"/>
            </w:tabs>
            <w:spacing w:line="480" w:lineRule="auto"/>
            <w:rPr>
              <w:sz w:val="28"/>
              <w:szCs w:val="28"/>
            </w:rPr>
          </w:pP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TOC \o "1-1" \h \u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Cs w:val="0"/>
              <w:color w:val="auto"/>
              <w:sz w:val="28"/>
              <w:szCs w:val="28"/>
              <w:highlight w:val="none"/>
            </w:rPr>
            <w:fldChar w:fldCharType="begin"/>
          </w:r>
          <w:r>
            <w:rPr>
              <w:rFonts w:hint="eastAsia" w:ascii="宋体" w:hAnsi="宋体" w:eastAsia="宋体" w:cs="宋体"/>
              <w:bCs w:val="0"/>
              <w:sz w:val="28"/>
              <w:szCs w:val="28"/>
              <w:highlight w:val="none"/>
            </w:rPr>
            <w:instrText xml:space="preserve"> HYPERLINK \l _Toc6978 </w:instrText>
          </w:r>
          <w:r>
            <w:rPr>
              <w:rFonts w:hint="eastAsia" w:ascii="宋体" w:hAnsi="宋体" w:eastAsia="宋体" w:cs="宋体"/>
              <w:bCs w:val="0"/>
              <w:sz w:val="28"/>
              <w:szCs w:val="28"/>
              <w:highlight w:val="none"/>
            </w:rPr>
            <w:fldChar w:fldCharType="separate"/>
          </w:r>
          <w:r>
            <w:rPr>
              <w:rFonts w:hint="eastAsia" w:ascii="Times New Roman" w:hAnsi="Times New Roman" w:eastAsia="宋体" w:cs="Times New Roman"/>
              <w:spacing w:val="32"/>
              <w:sz w:val="28"/>
              <w:szCs w:val="36"/>
              <w:highlight w:val="none"/>
              <w:lang w:val="en-US" w:eastAsia="zh-CN"/>
            </w:rPr>
            <w:t>一、</w:t>
          </w:r>
          <w:r>
            <w:rPr>
              <w:rFonts w:hint="eastAsia" w:ascii="Times New Roman" w:hAnsi="Times New Roman" w:eastAsia="宋体" w:cs="Times New Roman"/>
              <w:spacing w:val="32"/>
              <w:sz w:val="28"/>
              <w:szCs w:val="36"/>
              <w:highlight w:val="none"/>
              <w:lang w:eastAsia="zh-CN"/>
            </w:rPr>
            <w:t>春晖国际认证有限公司简介</w:t>
          </w:r>
          <w:r>
            <w:rPr>
              <w:sz w:val="28"/>
              <w:szCs w:val="28"/>
            </w:rPr>
            <w:tab/>
          </w:r>
          <w:r>
            <w:rPr>
              <w:sz w:val="28"/>
              <w:szCs w:val="28"/>
            </w:rPr>
            <w:fldChar w:fldCharType="begin"/>
          </w:r>
          <w:r>
            <w:rPr>
              <w:sz w:val="28"/>
              <w:szCs w:val="28"/>
            </w:rPr>
            <w:instrText xml:space="preserve"> PAGEREF _Toc6978 \h </w:instrText>
          </w:r>
          <w:r>
            <w:rPr>
              <w:sz w:val="28"/>
              <w:szCs w:val="28"/>
            </w:rPr>
            <w:fldChar w:fldCharType="separate"/>
          </w:r>
          <w:r>
            <w:rPr>
              <w:sz w:val="28"/>
              <w:szCs w:val="28"/>
            </w:rPr>
            <w:t>1</w:t>
          </w:r>
          <w:r>
            <w:rPr>
              <w:sz w:val="28"/>
              <w:szCs w:val="28"/>
            </w:rPr>
            <w:fldChar w:fldCharType="end"/>
          </w:r>
          <w:r>
            <w:rPr>
              <w:rFonts w:hint="eastAsia" w:ascii="宋体" w:hAnsi="宋体" w:eastAsia="宋体" w:cs="宋体"/>
              <w:bCs w:val="0"/>
              <w:color w:val="auto"/>
              <w:sz w:val="28"/>
              <w:szCs w:val="28"/>
              <w:highlight w:val="none"/>
            </w:rPr>
            <w:fldChar w:fldCharType="end"/>
          </w:r>
        </w:p>
        <w:p w14:paraId="3A61BB2C">
          <w:pPr>
            <w:pStyle w:val="27"/>
            <w:tabs>
              <w:tab w:val="right" w:leader="middleDot" w:pos="9610"/>
              <w:tab w:val="clear" w:pos="320"/>
              <w:tab w:val="clear" w:pos="9060"/>
            </w:tabs>
            <w:spacing w:line="480" w:lineRule="auto"/>
            <w:rPr>
              <w:sz w:val="28"/>
              <w:szCs w:val="28"/>
            </w:rPr>
          </w:pPr>
          <w:r>
            <w:rPr>
              <w:rFonts w:hint="eastAsia" w:ascii="宋体" w:hAnsi="宋体" w:eastAsia="宋体" w:cs="宋体"/>
              <w:bCs w:val="0"/>
              <w:color w:val="auto"/>
              <w:sz w:val="28"/>
              <w:szCs w:val="28"/>
              <w:highlight w:val="none"/>
            </w:rPr>
            <w:fldChar w:fldCharType="begin"/>
          </w:r>
          <w:r>
            <w:rPr>
              <w:rFonts w:hint="eastAsia" w:ascii="宋体" w:hAnsi="宋体" w:eastAsia="宋体" w:cs="宋体"/>
              <w:bCs w:val="0"/>
              <w:sz w:val="28"/>
              <w:szCs w:val="28"/>
              <w:highlight w:val="none"/>
            </w:rPr>
            <w:instrText xml:space="preserve"> HYPERLINK \l _Toc15030 </w:instrText>
          </w:r>
          <w:r>
            <w:rPr>
              <w:rFonts w:hint="eastAsia" w:ascii="宋体" w:hAnsi="宋体" w:eastAsia="宋体" w:cs="宋体"/>
              <w:bCs w:val="0"/>
              <w:sz w:val="28"/>
              <w:szCs w:val="28"/>
              <w:highlight w:val="none"/>
            </w:rPr>
            <w:fldChar w:fldCharType="separate"/>
          </w:r>
          <w:r>
            <w:rPr>
              <w:rFonts w:hint="eastAsia" w:ascii="Times New Roman" w:hAnsi="Times New Roman" w:eastAsia="宋体" w:cs="Times New Roman"/>
              <w:spacing w:val="32"/>
              <w:sz w:val="28"/>
              <w:szCs w:val="36"/>
              <w:highlight w:val="none"/>
              <w:lang w:val="en-US" w:eastAsia="zh-CN"/>
            </w:rPr>
            <w:t>二、公正性和保密性承诺</w:t>
          </w:r>
          <w:r>
            <w:rPr>
              <w:sz w:val="28"/>
              <w:szCs w:val="28"/>
            </w:rPr>
            <w:tab/>
          </w:r>
          <w:r>
            <w:rPr>
              <w:sz w:val="28"/>
              <w:szCs w:val="28"/>
            </w:rPr>
            <w:fldChar w:fldCharType="begin"/>
          </w:r>
          <w:r>
            <w:rPr>
              <w:sz w:val="28"/>
              <w:szCs w:val="28"/>
            </w:rPr>
            <w:instrText xml:space="preserve"> PAGEREF _Toc15030 \h </w:instrText>
          </w:r>
          <w:r>
            <w:rPr>
              <w:sz w:val="28"/>
              <w:szCs w:val="28"/>
            </w:rPr>
            <w:fldChar w:fldCharType="separate"/>
          </w:r>
          <w:r>
            <w:rPr>
              <w:sz w:val="28"/>
              <w:szCs w:val="28"/>
            </w:rPr>
            <w:t>2</w:t>
          </w:r>
          <w:r>
            <w:rPr>
              <w:sz w:val="28"/>
              <w:szCs w:val="28"/>
            </w:rPr>
            <w:fldChar w:fldCharType="end"/>
          </w:r>
          <w:r>
            <w:rPr>
              <w:rFonts w:hint="eastAsia" w:ascii="宋体" w:hAnsi="宋体" w:eastAsia="宋体" w:cs="宋体"/>
              <w:bCs w:val="0"/>
              <w:color w:val="auto"/>
              <w:sz w:val="28"/>
              <w:szCs w:val="28"/>
              <w:highlight w:val="none"/>
            </w:rPr>
            <w:fldChar w:fldCharType="end"/>
          </w:r>
        </w:p>
        <w:p w14:paraId="2D5EC74B">
          <w:pPr>
            <w:pStyle w:val="27"/>
            <w:tabs>
              <w:tab w:val="right" w:leader="middleDot" w:pos="9610"/>
              <w:tab w:val="clear" w:pos="320"/>
              <w:tab w:val="clear" w:pos="9060"/>
            </w:tabs>
            <w:spacing w:line="480" w:lineRule="auto"/>
            <w:rPr>
              <w:sz w:val="28"/>
              <w:szCs w:val="28"/>
            </w:rPr>
          </w:pPr>
          <w:r>
            <w:rPr>
              <w:rFonts w:hint="eastAsia" w:ascii="宋体" w:hAnsi="宋体" w:eastAsia="宋体" w:cs="宋体"/>
              <w:bCs w:val="0"/>
              <w:color w:val="auto"/>
              <w:sz w:val="28"/>
              <w:szCs w:val="28"/>
              <w:highlight w:val="none"/>
            </w:rPr>
            <w:fldChar w:fldCharType="begin"/>
          </w:r>
          <w:r>
            <w:rPr>
              <w:rFonts w:hint="eastAsia" w:ascii="宋体" w:hAnsi="宋体" w:eastAsia="宋体" w:cs="宋体"/>
              <w:bCs w:val="0"/>
              <w:sz w:val="28"/>
              <w:szCs w:val="28"/>
              <w:highlight w:val="none"/>
            </w:rPr>
            <w:instrText xml:space="preserve"> HYPERLINK \l _Toc9907 </w:instrText>
          </w:r>
          <w:r>
            <w:rPr>
              <w:rFonts w:hint="eastAsia" w:ascii="宋体" w:hAnsi="宋体" w:eastAsia="宋体" w:cs="宋体"/>
              <w:bCs w:val="0"/>
              <w:sz w:val="28"/>
              <w:szCs w:val="28"/>
              <w:highlight w:val="none"/>
            </w:rPr>
            <w:fldChar w:fldCharType="separate"/>
          </w:r>
          <w:r>
            <w:rPr>
              <w:rFonts w:hint="eastAsia" w:ascii="Times New Roman" w:hAnsi="Times New Roman" w:eastAsia="宋体" w:cs="Times New Roman"/>
              <w:spacing w:val="32"/>
              <w:sz w:val="28"/>
              <w:szCs w:val="36"/>
              <w:highlight w:val="none"/>
              <w:lang w:val="en-US" w:eastAsia="zh-CN"/>
            </w:rPr>
            <w:t>三、资质</w:t>
          </w:r>
          <w:r>
            <w:rPr>
              <w:sz w:val="28"/>
              <w:szCs w:val="28"/>
            </w:rPr>
            <w:tab/>
          </w:r>
          <w:r>
            <w:rPr>
              <w:sz w:val="28"/>
              <w:szCs w:val="28"/>
            </w:rPr>
            <w:fldChar w:fldCharType="begin"/>
          </w:r>
          <w:r>
            <w:rPr>
              <w:sz w:val="28"/>
              <w:szCs w:val="28"/>
            </w:rPr>
            <w:instrText xml:space="preserve"> PAGEREF _Toc9907 \h </w:instrText>
          </w:r>
          <w:r>
            <w:rPr>
              <w:sz w:val="28"/>
              <w:szCs w:val="28"/>
            </w:rPr>
            <w:fldChar w:fldCharType="separate"/>
          </w:r>
          <w:r>
            <w:rPr>
              <w:sz w:val="28"/>
              <w:szCs w:val="28"/>
            </w:rPr>
            <w:t>3</w:t>
          </w:r>
          <w:r>
            <w:rPr>
              <w:sz w:val="28"/>
              <w:szCs w:val="28"/>
            </w:rPr>
            <w:fldChar w:fldCharType="end"/>
          </w:r>
          <w:r>
            <w:rPr>
              <w:rFonts w:hint="eastAsia" w:ascii="宋体" w:hAnsi="宋体" w:eastAsia="宋体" w:cs="宋体"/>
              <w:bCs w:val="0"/>
              <w:color w:val="auto"/>
              <w:sz w:val="28"/>
              <w:szCs w:val="28"/>
              <w:highlight w:val="none"/>
            </w:rPr>
            <w:fldChar w:fldCharType="end"/>
          </w:r>
        </w:p>
        <w:p w14:paraId="5948274C">
          <w:pPr>
            <w:pStyle w:val="27"/>
            <w:tabs>
              <w:tab w:val="right" w:leader="middleDot" w:pos="9610"/>
              <w:tab w:val="clear" w:pos="320"/>
              <w:tab w:val="clear" w:pos="9060"/>
            </w:tabs>
            <w:spacing w:line="480" w:lineRule="auto"/>
            <w:rPr>
              <w:sz w:val="28"/>
              <w:szCs w:val="28"/>
            </w:rPr>
          </w:pPr>
          <w:r>
            <w:rPr>
              <w:rFonts w:hint="eastAsia" w:ascii="宋体" w:hAnsi="宋体" w:eastAsia="宋体" w:cs="宋体"/>
              <w:bCs w:val="0"/>
              <w:color w:val="auto"/>
              <w:sz w:val="28"/>
              <w:szCs w:val="28"/>
              <w:highlight w:val="none"/>
            </w:rPr>
            <w:fldChar w:fldCharType="begin"/>
          </w:r>
          <w:r>
            <w:rPr>
              <w:rFonts w:hint="eastAsia" w:ascii="宋体" w:hAnsi="宋体" w:eastAsia="宋体" w:cs="宋体"/>
              <w:bCs w:val="0"/>
              <w:sz w:val="28"/>
              <w:szCs w:val="28"/>
              <w:highlight w:val="none"/>
            </w:rPr>
            <w:instrText xml:space="preserve"> HYPERLINK \l _Toc30938 </w:instrText>
          </w:r>
          <w:r>
            <w:rPr>
              <w:rFonts w:hint="eastAsia" w:ascii="宋体" w:hAnsi="宋体" w:eastAsia="宋体" w:cs="宋体"/>
              <w:bCs w:val="0"/>
              <w:sz w:val="28"/>
              <w:szCs w:val="28"/>
              <w:highlight w:val="none"/>
            </w:rPr>
            <w:fldChar w:fldCharType="separate"/>
          </w:r>
          <w:r>
            <w:rPr>
              <w:rFonts w:hint="eastAsia" w:ascii="Times New Roman" w:hAnsi="Times New Roman" w:eastAsia="宋体" w:cs="Times New Roman"/>
              <w:spacing w:val="32"/>
              <w:sz w:val="28"/>
              <w:szCs w:val="36"/>
              <w:highlight w:val="none"/>
              <w:lang w:val="en-US" w:eastAsia="zh-CN"/>
            </w:rPr>
            <w:t>四、拟认证组织须知</w:t>
          </w:r>
          <w:r>
            <w:rPr>
              <w:sz w:val="28"/>
              <w:szCs w:val="28"/>
            </w:rPr>
            <w:tab/>
          </w:r>
          <w:r>
            <w:rPr>
              <w:sz w:val="28"/>
              <w:szCs w:val="28"/>
            </w:rPr>
            <w:fldChar w:fldCharType="begin"/>
          </w:r>
          <w:r>
            <w:rPr>
              <w:sz w:val="28"/>
              <w:szCs w:val="28"/>
            </w:rPr>
            <w:instrText xml:space="preserve"> PAGEREF _Toc30938 \h </w:instrText>
          </w:r>
          <w:r>
            <w:rPr>
              <w:sz w:val="28"/>
              <w:szCs w:val="28"/>
            </w:rPr>
            <w:fldChar w:fldCharType="separate"/>
          </w:r>
          <w:r>
            <w:rPr>
              <w:sz w:val="28"/>
              <w:szCs w:val="28"/>
            </w:rPr>
            <w:t>5</w:t>
          </w:r>
          <w:r>
            <w:rPr>
              <w:sz w:val="28"/>
              <w:szCs w:val="28"/>
            </w:rPr>
            <w:fldChar w:fldCharType="end"/>
          </w:r>
          <w:r>
            <w:rPr>
              <w:rFonts w:hint="eastAsia" w:ascii="宋体" w:hAnsi="宋体" w:eastAsia="宋体" w:cs="宋体"/>
              <w:bCs w:val="0"/>
              <w:color w:val="auto"/>
              <w:sz w:val="28"/>
              <w:szCs w:val="28"/>
              <w:highlight w:val="none"/>
            </w:rPr>
            <w:fldChar w:fldCharType="end"/>
          </w:r>
        </w:p>
        <w:p w14:paraId="424BDCEB">
          <w:pPr>
            <w:pStyle w:val="27"/>
            <w:tabs>
              <w:tab w:val="right" w:leader="middleDot" w:pos="9610"/>
              <w:tab w:val="clear" w:pos="320"/>
              <w:tab w:val="clear" w:pos="9060"/>
            </w:tabs>
            <w:spacing w:line="480" w:lineRule="auto"/>
            <w:rPr>
              <w:sz w:val="28"/>
              <w:szCs w:val="28"/>
            </w:rPr>
          </w:pPr>
          <w:r>
            <w:rPr>
              <w:rFonts w:hint="eastAsia" w:ascii="宋体" w:hAnsi="宋体" w:eastAsia="宋体" w:cs="宋体"/>
              <w:bCs w:val="0"/>
              <w:color w:val="auto"/>
              <w:sz w:val="28"/>
              <w:szCs w:val="28"/>
              <w:highlight w:val="none"/>
            </w:rPr>
            <w:fldChar w:fldCharType="begin"/>
          </w:r>
          <w:r>
            <w:rPr>
              <w:rFonts w:hint="eastAsia" w:ascii="宋体" w:hAnsi="宋体" w:eastAsia="宋体" w:cs="宋体"/>
              <w:bCs w:val="0"/>
              <w:sz w:val="28"/>
              <w:szCs w:val="28"/>
              <w:highlight w:val="none"/>
            </w:rPr>
            <w:instrText xml:space="preserve"> HYPERLINK \l _Toc8317 </w:instrText>
          </w:r>
          <w:r>
            <w:rPr>
              <w:rFonts w:hint="eastAsia" w:ascii="宋体" w:hAnsi="宋体" w:eastAsia="宋体" w:cs="宋体"/>
              <w:bCs w:val="0"/>
              <w:sz w:val="28"/>
              <w:szCs w:val="28"/>
              <w:highlight w:val="none"/>
            </w:rPr>
            <w:fldChar w:fldCharType="separate"/>
          </w:r>
          <w:r>
            <w:rPr>
              <w:rFonts w:hint="eastAsia" w:ascii="Times New Roman" w:hAnsi="Times New Roman" w:eastAsia="宋体" w:cs="Times New Roman"/>
              <w:spacing w:val="32"/>
              <w:sz w:val="28"/>
              <w:szCs w:val="36"/>
              <w:highlight w:val="none"/>
              <w:lang w:val="en-US" w:eastAsia="zh-CN"/>
            </w:rPr>
            <w:t>五、CHRZ认证收费标准</w:t>
          </w:r>
          <w:r>
            <w:rPr>
              <w:sz w:val="28"/>
              <w:szCs w:val="28"/>
            </w:rPr>
            <w:tab/>
          </w:r>
          <w:r>
            <w:rPr>
              <w:sz w:val="28"/>
              <w:szCs w:val="28"/>
            </w:rPr>
            <w:fldChar w:fldCharType="begin"/>
          </w:r>
          <w:r>
            <w:rPr>
              <w:sz w:val="28"/>
              <w:szCs w:val="28"/>
            </w:rPr>
            <w:instrText xml:space="preserve"> PAGEREF _Toc8317 \h </w:instrText>
          </w:r>
          <w:r>
            <w:rPr>
              <w:sz w:val="28"/>
              <w:szCs w:val="28"/>
            </w:rPr>
            <w:fldChar w:fldCharType="separate"/>
          </w:r>
          <w:r>
            <w:rPr>
              <w:sz w:val="28"/>
              <w:szCs w:val="28"/>
            </w:rPr>
            <w:t>9</w:t>
          </w:r>
          <w:r>
            <w:rPr>
              <w:sz w:val="28"/>
              <w:szCs w:val="28"/>
            </w:rPr>
            <w:fldChar w:fldCharType="end"/>
          </w:r>
          <w:r>
            <w:rPr>
              <w:rFonts w:hint="eastAsia" w:ascii="宋体" w:hAnsi="宋体" w:eastAsia="宋体" w:cs="宋体"/>
              <w:bCs w:val="0"/>
              <w:color w:val="auto"/>
              <w:sz w:val="28"/>
              <w:szCs w:val="28"/>
              <w:highlight w:val="none"/>
            </w:rPr>
            <w:fldChar w:fldCharType="end"/>
          </w:r>
        </w:p>
        <w:p w14:paraId="70DEA7B5">
          <w:pPr>
            <w:pStyle w:val="27"/>
            <w:tabs>
              <w:tab w:val="right" w:leader="middleDot" w:pos="9610"/>
              <w:tab w:val="clear" w:pos="320"/>
              <w:tab w:val="clear" w:pos="9060"/>
            </w:tabs>
            <w:spacing w:line="480" w:lineRule="auto"/>
            <w:rPr>
              <w:sz w:val="28"/>
              <w:szCs w:val="28"/>
            </w:rPr>
          </w:pPr>
          <w:r>
            <w:rPr>
              <w:rFonts w:hint="eastAsia" w:ascii="宋体" w:hAnsi="宋体" w:eastAsia="宋体" w:cs="宋体"/>
              <w:bCs w:val="0"/>
              <w:color w:val="auto"/>
              <w:sz w:val="28"/>
              <w:szCs w:val="28"/>
              <w:highlight w:val="none"/>
            </w:rPr>
            <w:fldChar w:fldCharType="begin"/>
          </w:r>
          <w:r>
            <w:rPr>
              <w:rFonts w:hint="eastAsia" w:ascii="宋体" w:hAnsi="宋体" w:eastAsia="宋体" w:cs="宋体"/>
              <w:bCs w:val="0"/>
              <w:sz w:val="28"/>
              <w:szCs w:val="28"/>
              <w:highlight w:val="none"/>
            </w:rPr>
            <w:instrText xml:space="preserve"> HYPERLINK \l _Toc28156 </w:instrText>
          </w:r>
          <w:r>
            <w:rPr>
              <w:rFonts w:hint="eastAsia" w:ascii="宋体" w:hAnsi="宋体" w:eastAsia="宋体" w:cs="宋体"/>
              <w:bCs w:val="0"/>
              <w:sz w:val="28"/>
              <w:szCs w:val="28"/>
              <w:highlight w:val="none"/>
            </w:rPr>
            <w:fldChar w:fldCharType="separate"/>
          </w:r>
          <w:r>
            <w:rPr>
              <w:rFonts w:hint="eastAsia" w:ascii="Times New Roman" w:hAnsi="Times New Roman" w:eastAsia="宋体" w:cs="Times New Roman"/>
              <w:spacing w:val="32"/>
              <w:sz w:val="28"/>
              <w:szCs w:val="36"/>
              <w:highlight w:val="none"/>
              <w:lang w:val="en-US" w:eastAsia="zh-CN"/>
            </w:rPr>
            <w:t>六、拟获证组织须知</w:t>
          </w:r>
          <w:r>
            <w:rPr>
              <w:sz w:val="28"/>
              <w:szCs w:val="28"/>
            </w:rPr>
            <w:tab/>
          </w:r>
          <w:r>
            <w:rPr>
              <w:sz w:val="28"/>
              <w:szCs w:val="28"/>
            </w:rPr>
            <w:fldChar w:fldCharType="begin"/>
          </w:r>
          <w:r>
            <w:rPr>
              <w:sz w:val="28"/>
              <w:szCs w:val="28"/>
            </w:rPr>
            <w:instrText xml:space="preserve"> PAGEREF _Toc28156 \h </w:instrText>
          </w:r>
          <w:r>
            <w:rPr>
              <w:sz w:val="28"/>
              <w:szCs w:val="28"/>
            </w:rPr>
            <w:fldChar w:fldCharType="separate"/>
          </w:r>
          <w:r>
            <w:rPr>
              <w:sz w:val="28"/>
              <w:szCs w:val="28"/>
            </w:rPr>
            <w:t>10</w:t>
          </w:r>
          <w:r>
            <w:rPr>
              <w:sz w:val="28"/>
              <w:szCs w:val="28"/>
            </w:rPr>
            <w:fldChar w:fldCharType="end"/>
          </w:r>
          <w:r>
            <w:rPr>
              <w:rFonts w:hint="eastAsia" w:ascii="宋体" w:hAnsi="宋体" w:eastAsia="宋体" w:cs="宋体"/>
              <w:bCs w:val="0"/>
              <w:color w:val="auto"/>
              <w:sz w:val="28"/>
              <w:szCs w:val="28"/>
              <w:highlight w:val="none"/>
            </w:rPr>
            <w:fldChar w:fldCharType="end"/>
          </w:r>
        </w:p>
        <w:p w14:paraId="0F58876F">
          <w:pPr>
            <w:pStyle w:val="27"/>
            <w:tabs>
              <w:tab w:val="right" w:leader="middleDot" w:pos="9610"/>
              <w:tab w:val="clear" w:pos="320"/>
              <w:tab w:val="clear" w:pos="9060"/>
            </w:tabs>
            <w:spacing w:line="480" w:lineRule="auto"/>
            <w:rPr>
              <w:sz w:val="28"/>
              <w:szCs w:val="28"/>
            </w:rPr>
          </w:pPr>
          <w:r>
            <w:rPr>
              <w:rFonts w:hint="eastAsia" w:ascii="宋体" w:hAnsi="宋体" w:eastAsia="宋体" w:cs="宋体"/>
              <w:bCs w:val="0"/>
              <w:color w:val="auto"/>
              <w:sz w:val="28"/>
              <w:szCs w:val="28"/>
              <w:highlight w:val="none"/>
            </w:rPr>
            <w:fldChar w:fldCharType="begin"/>
          </w:r>
          <w:r>
            <w:rPr>
              <w:rFonts w:hint="eastAsia" w:ascii="宋体" w:hAnsi="宋体" w:eastAsia="宋体" w:cs="宋体"/>
              <w:bCs w:val="0"/>
              <w:sz w:val="28"/>
              <w:szCs w:val="28"/>
              <w:highlight w:val="none"/>
            </w:rPr>
            <w:instrText xml:space="preserve"> HYPERLINK \l _Toc7223 </w:instrText>
          </w:r>
          <w:r>
            <w:rPr>
              <w:rFonts w:hint="eastAsia" w:ascii="宋体" w:hAnsi="宋体" w:eastAsia="宋体" w:cs="宋体"/>
              <w:bCs w:val="0"/>
              <w:sz w:val="28"/>
              <w:szCs w:val="28"/>
              <w:highlight w:val="none"/>
            </w:rPr>
            <w:fldChar w:fldCharType="separate"/>
          </w:r>
          <w:r>
            <w:rPr>
              <w:rFonts w:hint="eastAsia" w:ascii="Times New Roman" w:hAnsi="Times New Roman" w:eastAsia="宋体" w:cs="Times New Roman"/>
              <w:spacing w:val="32"/>
              <w:sz w:val="28"/>
              <w:szCs w:val="36"/>
              <w:highlight w:val="none"/>
              <w:lang w:val="en-US" w:eastAsia="zh-CN"/>
            </w:rPr>
            <w:t>七、认证流程</w:t>
          </w:r>
          <w:r>
            <w:rPr>
              <w:sz w:val="28"/>
              <w:szCs w:val="28"/>
            </w:rPr>
            <w:tab/>
          </w:r>
          <w:r>
            <w:rPr>
              <w:sz w:val="28"/>
              <w:szCs w:val="28"/>
            </w:rPr>
            <w:fldChar w:fldCharType="begin"/>
          </w:r>
          <w:r>
            <w:rPr>
              <w:sz w:val="28"/>
              <w:szCs w:val="28"/>
            </w:rPr>
            <w:instrText xml:space="preserve"> PAGEREF _Toc7223 \h </w:instrText>
          </w:r>
          <w:r>
            <w:rPr>
              <w:sz w:val="28"/>
              <w:szCs w:val="28"/>
            </w:rPr>
            <w:fldChar w:fldCharType="separate"/>
          </w:r>
          <w:r>
            <w:rPr>
              <w:sz w:val="28"/>
              <w:szCs w:val="28"/>
            </w:rPr>
            <w:t>23</w:t>
          </w:r>
          <w:r>
            <w:rPr>
              <w:sz w:val="28"/>
              <w:szCs w:val="28"/>
            </w:rPr>
            <w:fldChar w:fldCharType="end"/>
          </w:r>
          <w:r>
            <w:rPr>
              <w:rFonts w:hint="eastAsia" w:ascii="宋体" w:hAnsi="宋体" w:eastAsia="宋体" w:cs="宋体"/>
              <w:bCs w:val="0"/>
              <w:color w:val="auto"/>
              <w:sz w:val="28"/>
              <w:szCs w:val="28"/>
              <w:highlight w:val="none"/>
            </w:rPr>
            <w:fldChar w:fldCharType="end"/>
          </w:r>
        </w:p>
        <w:p w14:paraId="497A566C">
          <w:pPr>
            <w:pStyle w:val="27"/>
            <w:tabs>
              <w:tab w:val="right" w:leader="middleDot" w:pos="9610"/>
              <w:tab w:val="clear" w:pos="320"/>
              <w:tab w:val="clear" w:pos="9060"/>
            </w:tabs>
            <w:spacing w:line="480" w:lineRule="auto"/>
            <w:rPr>
              <w:sz w:val="28"/>
              <w:szCs w:val="28"/>
            </w:rPr>
          </w:pPr>
          <w:r>
            <w:rPr>
              <w:rFonts w:hint="eastAsia" w:ascii="宋体" w:hAnsi="宋体" w:eastAsia="宋体" w:cs="宋体"/>
              <w:bCs w:val="0"/>
              <w:color w:val="auto"/>
              <w:sz w:val="28"/>
              <w:szCs w:val="28"/>
              <w:highlight w:val="none"/>
            </w:rPr>
            <w:fldChar w:fldCharType="begin"/>
          </w:r>
          <w:r>
            <w:rPr>
              <w:rFonts w:hint="eastAsia" w:ascii="宋体" w:hAnsi="宋体" w:eastAsia="宋体" w:cs="宋体"/>
              <w:bCs w:val="0"/>
              <w:sz w:val="28"/>
              <w:szCs w:val="28"/>
              <w:highlight w:val="none"/>
            </w:rPr>
            <w:instrText xml:space="preserve"> HYPERLINK \l _Toc24976 </w:instrText>
          </w:r>
          <w:r>
            <w:rPr>
              <w:rFonts w:hint="eastAsia" w:ascii="宋体" w:hAnsi="宋体" w:eastAsia="宋体" w:cs="宋体"/>
              <w:bCs w:val="0"/>
              <w:sz w:val="28"/>
              <w:szCs w:val="28"/>
              <w:highlight w:val="none"/>
            </w:rPr>
            <w:fldChar w:fldCharType="separate"/>
          </w:r>
          <w:r>
            <w:rPr>
              <w:rFonts w:hint="eastAsia" w:ascii="Times New Roman" w:hAnsi="Times New Roman" w:eastAsia="宋体" w:cs="Times New Roman"/>
              <w:spacing w:val="32"/>
              <w:sz w:val="28"/>
              <w:szCs w:val="36"/>
              <w:highlight w:val="none"/>
              <w:lang w:val="en-US" w:eastAsia="zh-CN"/>
            </w:rPr>
            <w:t>八、 授予、拒绝、保持认证、扩大或缩小认证范围、更新、暂停、恢复或者撤销认证管理规定</w:t>
          </w:r>
          <w:r>
            <w:rPr>
              <w:sz w:val="28"/>
              <w:szCs w:val="28"/>
            </w:rPr>
            <w:tab/>
          </w:r>
          <w:r>
            <w:rPr>
              <w:sz w:val="28"/>
              <w:szCs w:val="28"/>
            </w:rPr>
            <w:fldChar w:fldCharType="begin"/>
          </w:r>
          <w:r>
            <w:rPr>
              <w:sz w:val="28"/>
              <w:szCs w:val="28"/>
            </w:rPr>
            <w:instrText xml:space="preserve"> PAGEREF _Toc24976 \h </w:instrText>
          </w:r>
          <w:r>
            <w:rPr>
              <w:sz w:val="28"/>
              <w:szCs w:val="28"/>
            </w:rPr>
            <w:fldChar w:fldCharType="separate"/>
          </w:r>
          <w:r>
            <w:rPr>
              <w:sz w:val="28"/>
              <w:szCs w:val="28"/>
            </w:rPr>
            <w:t>25</w:t>
          </w:r>
          <w:r>
            <w:rPr>
              <w:sz w:val="28"/>
              <w:szCs w:val="28"/>
            </w:rPr>
            <w:fldChar w:fldCharType="end"/>
          </w:r>
          <w:r>
            <w:rPr>
              <w:rFonts w:hint="eastAsia" w:ascii="宋体" w:hAnsi="宋体" w:eastAsia="宋体" w:cs="宋体"/>
              <w:bCs w:val="0"/>
              <w:color w:val="auto"/>
              <w:sz w:val="28"/>
              <w:szCs w:val="28"/>
              <w:highlight w:val="none"/>
            </w:rPr>
            <w:fldChar w:fldCharType="end"/>
          </w:r>
        </w:p>
        <w:p w14:paraId="3FB0ABDF">
          <w:pPr>
            <w:pStyle w:val="27"/>
            <w:tabs>
              <w:tab w:val="right" w:leader="middleDot" w:pos="9610"/>
              <w:tab w:val="clear" w:pos="320"/>
              <w:tab w:val="clear" w:pos="9060"/>
            </w:tabs>
            <w:spacing w:line="480" w:lineRule="auto"/>
            <w:rPr>
              <w:sz w:val="28"/>
              <w:szCs w:val="28"/>
            </w:rPr>
          </w:pPr>
          <w:r>
            <w:rPr>
              <w:rFonts w:hint="eastAsia" w:ascii="宋体" w:hAnsi="宋体" w:eastAsia="宋体" w:cs="宋体"/>
              <w:bCs w:val="0"/>
              <w:color w:val="auto"/>
              <w:sz w:val="28"/>
              <w:szCs w:val="28"/>
              <w:highlight w:val="none"/>
            </w:rPr>
            <w:fldChar w:fldCharType="begin"/>
          </w:r>
          <w:r>
            <w:rPr>
              <w:rFonts w:hint="eastAsia" w:ascii="宋体" w:hAnsi="宋体" w:eastAsia="宋体" w:cs="宋体"/>
              <w:bCs w:val="0"/>
              <w:sz w:val="28"/>
              <w:szCs w:val="28"/>
              <w:highlight w:val="none"/>
            </w:rPr>
            <w:instrText xml:space="preserve"> HYPERLINK \l _Toc9430 </w:instrText>
          </w:r>
          <w:r>
            <w:rPr>
              <w:rFonts w:hint="eastAsia" w:ascii="宋体" w:hAnsi="宋体" w:eastAsia="宋体" w:cs="宋体"/>
              <w:bCs w:val="0"/>
              <w:sz w:val="28"/>
              <w:szCs w:val="28"/>
              <w:highlight w:val="none"/>
            </w:rPr>
            <w:fldChar w:fldCharType="separate"/>
          </w:r>
          <w:r>
            <w:rPr>
              <w:rFonts w:hint="eastAsia" w:ascii="Times New Roman" w:hAnsi="Times New Roman" w:eastAsia="宋体" w:cs="Times New Roman"/>
              <w:spacing w:val="32"/>
              <w:sz w:val="28"/>
              <w:szCs w:val="36"/>
              <w:highlight w:val="none"/>
              <w:lang w:val="en-US" w:eastAsia="zh-CN"/>
            </w:rPr>
            <w:t>九、保密管理规定</w:t>
          </w:r>
          <w:r>
            <w:rPr>
              <w:sz w:val="28"/>
              <w:szCs w:val="28"/>
            </w:rPr>
            <w:tab/>
          </w:r>
          <w:r>
            <w:rPr>
              <w:sz w:val="28"/>
              <w:szCs w:val="28"/>
            </w:rPr>
            <w:fldChar w:fldCharType="begin"/>
          </w:r>
          <w:r>
            <w:rPr>
              <w:sz w:val="28"/>
              <w:szCs w:val="28"/>
            </w:rPr>
            <w:instrText xml:space="preserve"> PAGEREF _Toc9430 \h </w:instrText>
          </w:r>
          <w:r>
            <w:rPr>
              <w:sz w:val="28"/>
              <w:szCs w:val="28"/>
            </w:rPr>
            <w:fldChar w:fldCharType="separate"/>
          </w:r>
          <w:r>
            <w:rPr>
              <w:sz w:val="28"/>
              <w:szCs w:val="28"/>
            </w:rPr>
            <w:t>30</w:t>
          </w:r>
          <w:r>
            <w:rPr>
              <w:sz w:val="28"/>
              <w:szCs w:val="28"/>
            </w:rPr>
            <w:fldChar w:fldCharType="end"/>
          </w:r>
          <w:r>
            <w:rPr>
              <w:rFonts w:hint="eastAsia" w:ascii="宋体" w:hAnsi="宋体" w:eastAsia="宋体" w:cs="宋体"/>
              <w:bCs w:val="0"/>
              <w:color w:val="auto"/>
              <w:sz w:val="28"/>
              <w:szCs w:val="28"/>
              <w:highlight w:val="none"/>
            </w:rPr>
            <w:fldChar w:fldCharType="end"/>
          </w:r>
        </w:p>
        <w:p w14:paraId="1E9DA711">
          <w:pPr>
            <w:keepNext w:val="0"/>
            <w:keepLines w:val="0"/>
            <w:pageBreakBefore w:val="0"/>
            <w:widowControl w:val="0"/>
            <w:shd w:val="clear"/>
            <w:kinsoku/>
            <w:wordWrap/>
            <w:overflowPunct/>
            <w:topLinePunct w:val="0"/>
            <w:autoSpaceDE/>
            <w:autoSpaceDN/>
            <w:bidi w:val="0"/>
            <w:adjustRightInd/>
            <w:snapToGrid/>
            <w:spacing w:line="480" w:lineRule="auto"/>
            <w:ind w:right="0" w:rightChars="0"/>
            <w:textAlignment w:val="auto"/>
            <w:rPr>
              <w:color w:val="auto"/>
              <w:highlight w:val="none"/>
            </w:rPr>
          </w:pPr>
          <w:r>
            <w:rPr>
              <w:rFonts w:hint="eastAsia" w:ascii="宋体" w:hAnsi="宋体" w:eastAsia="宋体" w:cs="宋体"/>
              <w:bCs w:val="0"/>
              <w:color w:val="auto"/>
              <w:sz w:val="22"/>
              <w:szCs w:val="28"/>
              <w:highlight w:val="none"/>
            </w:rPr>
            <w:fldChar w:fldCharType="end"/>
          </w:r>
        </w:p>
      </w:sdtContent>
    </w:sdt>
    <w:p w14:paraId="5E473057">
      <w:pPr>
        <w:shd w:val="clear"/>
        <w:rPr>
          <w:color w:val="auto"/>
          <w:highlight w:val="none"/>
        </w:rPr>
      </w:pPr>
    </w:p>
    <w:p w14:paraId="55D11D29">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outlineLvl w:val="9"/>
        <w:rPr>
          <w:rFonts w:hint="eastAsia"/>
          <w:b/>
          <w:color w:val="auto"/>
          <w:spacing w:val="32"/>
          <w:sz w:val="32"/>
          <w:szCs w:val="32"/>
          <w:highlight w:val="none"/>
          <w:lang w:eastAsia="zh-CN"/>
        </w:rPr>
      </w:pPr>
    </w:p>
    <w:p w14:paraId="0A42A352">
      <w:pPr>
        <w:shd w:val="clear"/>
        <w:bidi w:val="0"/>
        <w:rPr>
          <w:rFonts w:hint="eastAsia" w:ascii="Times New Roman" w:hAnsi="Times New Roman" w:eastAsia="宋体" w:cs="Times New Roman"/>
          <w:color w:val="auto"/>
          <w:kern w:val="2"/>
          <w:sz w:val="21"/>
          <w:szCs w:val="24"/>
          <w:highlight w:val="none"/>
          <w:lang w:val="en-US" w:eastAsia="zh-CN" w:bidi="ar-SA"/>
        </w:rPr>
      </w:pPr>
    </w:p>
    <w:p w14:paraId="179865DB">
      <w:pPr>
        <w:shd w:val="clear"/>
        <w:bidi w:val="0"/>
        <w:rPr>
          <w:rFonts w:hint="eastAsia"/>
          <w:color w:val="auto"/>
          <w:highlight w:val="none"/>
          <w:lang w:val="en-US" w:eastAsia="zh-CN"/>
        </w:rPr>
      </w:pPr>
    </w:p>
    <w:p w14:paraId="4F9CA1B1">
      <w:pPr>
        <w:shd w:val="clear"/>
        <w:bidi w:val="0"/>
        <w:rPr>
          <w:rFonts w:hint="eastAsia"/>
          <w:color w:val="auto"/>
          <w:highlight w:val="none"/>
          <w:lang w:val="en-US" w:eastAsia="zh-CN"/>
        </w:rPr>
      </w:pPr>
    </w:p>
    <w:p w14:paraId="21ED6548">
      <w:pPr>
        <w:shd w:val="clear"/>
        <w:bidi w:val="0"/>
        <w:rPr>
          <w:rFonts w:hint="eastAsia"/>
          <w:color w:val="auto"/>
          <w:highlight w:val="none"/>
          <w:lang w:val="en-US" w:eastAsia="zh-CN"/>
        </w:rPr>
      </w:pPr>
    </w:p>
    <w:p w14:paraId="1315E9D1">
      <w:pPr>
        <w:shd w:val="clear"/>
        <w:bidi w:val="0"/>
        <w:rPr>
          <w:rFonts w:hint="eastAsia"/>
          <w:color w:val="auto"/>
          <w:highlight w:val="none"/>
          <w:lang w:val="en-US" w:eastAsia="zh-CN"/>
        </w:rPr>
      </w:pPr>
    </w:p>
    <w:p w14:paraId="55DB575F">
      <w:pPr>
        <w:shd w:val="clear"/>
        <w:bidi w:val="0"/>
        <w:rPr>
          <w:rFonts w:hint="eastAsia"/>
          <w:color w:val="auto"/>
          <w:highlight w:val="none"/>
          <w:lang w:val="en-US" w:eastAsia="zh-CN"/>
        </w:rPr>
      </w:pPr>
    </w:p>
    <w:p w14:paraId="0D0E67E9">
      <w:pPr>
        <w:shd w:val="clear"/>
        <w:tabs>
          <w:tab w:val="center" w:pos="4805"/>
        </w:tabs>
        <w:bidi w:val="0"/>
        <w:jc w:val="left"/>
        <w:rPr>
          <w:rFonts w:hint="eastAsia"/>
          <w:color w:val="auto"/>
          <w:highlight w:val="none"/>
          <w:lang w:val="en-US" w:eastAsia="zh-CN"/>
        </w:rPr>
        <w:sectPr>
          <w:pgSz w:w="11906" w:h="16838"/>
          <w:pgMar w:top="1418" w:right="1162" w:bottom="1134" w:left="1134" w:header="510" w:footer="567" w:gutter="0"/>
          <w:cols w:space="720" w:num="1"/>
          <w:titlePg/>
          <w:docGrid w:linePitch="312" w:charSpace="0"/>
        </w:sectPr>
      </w:pPr>
      <w:r>
        <w:rPr>
          <w:rFonts w:hint="eastAsia"/>
          <w:color w:val="auto"/>
          <w:highlight w:val="none"/>
          <w:lang w:val="en-US" w:eastAsia="zh-CN"/>
        </w:rPr>
        <w:tab/>
      </w:r>
      <w:bookmarkStart w:id="43" w:name="_GoBack"/>
      <w:bookmarkEnd w:id="43"/>
    </w:p>
    <w:p w14:paraId="6977AC0E">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outlineLvl w:val="0"/>
        <w:rPr>
          <w:rFonts w:hint="eastAsia" w:ascii="Times New Roman" w:hAnsi="Times New Roman" w:eastAsia="宋体" w:cs="Times New Roman"/>
          <w:b/>
          <w:color w:val="auto"/>
          <w:spacing w:val="32"/>
          <w:sz w:val="32"/>
          <w:szCs w:val="32"/>
          <w:highlight w:val="none"/>
          <w:lang w:eastAsia="zh-CN"/>
        </w:rPr>
      </w:pPr>
      <w:bookmarkStart w:id="2" w:name="_Toc6978"/>
      <w:r>
        <w:rPr>
          <w:rFonts w:hint="eastAsia" w:ascii="Times New Roman" w:hAnsi="Times New Roman" w:eastAsia="宋体" w:cs="Times New Roman"/>
          <w:b/>
          <w:color w:val="auto"/>
          <w:spacing w:val="32"/>
          <w:sz w:val="32"/>
          <w:szCs w:val="32"/>
          <w:highlight w:val="none"/>
          <w:lang w:val="en-US" w:eastAsia="zh-CN"/>
        </w:rPr>
        <w:t>一、</w:t>
      </w:r>
      <w:r>
        <w:rPr>
          <w:rFonts w:hint="eastAsia" w:ascii="Times New Roman" w:hAnsi="Times New Roman" w:eastAsia="宋体" w:cs="Times New Roman"/>
          <w:b/>
          <w:color w:val="auto"/>
          <w:spacing w:val="32"/>
          <w:sz w:val="32"/>
          <w:szCs w:val="32"/>
          <w:highlight w:val="none"/>
          <w:lang w:eastAsia="zh-CN"/>
        </w:rPr>
        <w:t>春晖国际认证有限公司简介</w:t>
      </w:r>
      <w:bookmarkEnd w:id="2"/>
    </w:p>
    <w:p w14:paraId="3C6FAFCA">
      <w:pPr>
        <w:pageBreakBefore w:val="0"/>
        <w:shd w:val="clear"/>
        <w:kinsoku/>
        <w:overflowPunct/>
        <w:topLinePunct w:val="0"/>
        <w:autoSpaceDE/>
        <w:autoSpaceDN/>
        <w:bidi w:val="0"/>
        <w:spacing w:line="400" w:lineRule="exact"/>
        <w:ind w:firstLine="482" w:firstLineChars="200"/>
        <w:outlineLvl w:val="9"/>
        <w:rPr>
          <w:rFonts w:ascii="宋体" w:hAnsi="宋体"/>
          <w:b/>
          <w:color w:val="auto"/>
          <w:sz w:val="24"/>
          <w:highlight w:val="none"/>
        </w:rPr>
      </w:pPr>
    </w:p>
    <w:p w14:paraId="0E8E82F6">
      <w:pPr>
        <w:keepNext w:val="0"/>
        <w:keepLines w:val="0"/>
        <w:pageBreakBefore w:val="0"/>
        <w:kinsoku/>
        <w:overflowPunct/>
        <w:autoSpaceDE/>
        <w:autoSpaceDN/>
        <w:bidi w:val="0"/>
        <w:adjustRightInd/>
        <w:snapToGrid/>
        <w:spacing w:line="360" w:lineRule="auto"/>
        <w:ind w:firstLine="420"/>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春晖国际认证有限公司</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CHRZ</w:t>
      </w:r>
      <w:r>
        <w:rPr>
          <w:rFonts w:hint="eastAsia" w:ascii="宋体" w:hAnsi="宋体" w:eastAsia="宋体" w:cs="宋体"/>
          <w:color w:val="auto"/>
          <w:sz w:val="21"/>
          <w:szCs w:val="21"/>
          <w:highlight w:val="none"/>
          <w:lang w:val="en-US" w:eastAsia="zh-CN"/>
        </w:rPr>
        <w:t>）成立于2021年</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月</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lang w:val="en-US" w:eastAsia="zh-CN"/>
        </w:rPr>
        <w:t>日，是经工商注册（统一社会信用代码：91410105MA9K0MM79X)，具有独立企业法人资格的企业。</w:t>
      </w:r>
    </w:p>
    <w:p w14:paraId="692CB2B4">
      <w:pPr>
        <w:keepNext w:val="0"/>
        <w:keepLines w:val="0"/>
        <w:pageBreakBefore w:val="0"/>
        <w:kinsoku/>
        <w:overflowPunct/>
        <w:autoSpaceDE/>
        <w:autoSpaceDN/>
        <w:bidi w:val="0"/>
        <w:adjustRightInd/>
        <w:snapToGrid/>
        <w:spacing w:line="360" w:lineRule="auto"/>
        <w:ind w:firstLine="42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公司现有经营范围：许可项目：认证服务（依法须经批准的项目，经相关部门批准后方可开展经营活动，具体经营项目以相关部门批准文件或许可证件为准）一般项目：业务培训（不含教育培训、职业技能培训等需取得许可的培训）（除依法须经批准的项目外，凭营业执照依法自主开展经营活动）。 </w:t>
      </w:r>
    </w:p>
    <w:p w14:paraId="2BEA29DB">
      <w:pPr>
        <w:keepNext w:val="0"/>
        <w:keepLines w:val="0"/>
        <w:pageBreakBefore w:val="0"/>
        <w:kinsoku/>
        <w:overflowPunct/>
        <w:autoSpaceDE/>
        <w:autoSpaceDN/>
        <w:bidi w:val="0"/>
        <w:adjustRightInd/>
        <w:snapToGrid/>
        <w:spacing w:line="360" w:lineRule="auto"/>
        <w:ind w:firstLine="42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公司的宗旨：公正公开、严谨规范、诚信创新、客户至上。 </w:t>
      </w:r>
    </w:p>
    <w:p w14:paraId="4A4B56D6">
      <w:pPr>
        <w:keepNext w:val="0"/>
        <w:keepLines w:val="0"/>
        <w:pageBreakBefore w:val="0"/>
        <w:kinsoku/>
        <w:overflowPunct/>
        <w:autoSpaceDE/>
        <w:autoSpaceDN/>
        <w:bidi w:val="0"/>
        <w:adjustRightInd/>
        <w:snapToGrid/>
        <w:spacing w:line="360" w:lineRule="auto"/>
        <w:ind w:firstLine="42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公司的理念：顾客至上、客观公正、严谨务实、专业高效、传递信任、服务创新；相互尊重、合作共赢、肯定每个人的贡献；忠诚、依赖、奉献于团队。 </w:t>
      </w:r>
    </w:p>
    <w:p w14:paraId="1B107DBB">
      <w:pPr>
        <w:keepNext w:val="0"/>
        <w:keepLines w:val="0"/>
        <w:pageBreakBefore w:val="0"/>
        <w:kinsoku/>
        <w:overflowPunct/>
        <w:autoSpaceDE/>
        <w:autoSpaceDN/>
        <w:bidi w:val="0"/>
        <w:adjustRightInd/>
        <w:snapToGrid/>
        <w:spacing w:line="360" w:lineRule="auto"/>
        <w:ind w:firstLine="42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公司针对认证服务活动所引发的责任和风险，建立了充足的认证风险基金以承担与公司有关的认证责任。公司不以营利为目的，不接受社会各方任何形式的经济赞助，实行有偿服务，独立核算，自主经营，有稳定的财务状况和良好的财务监督机制，以精立业，以质取胜，努力成为业内最受尊重和信任的认证机构。 </w:t>
      </w:r>
    </w:p>
    <w:p w14:paraId="383A8B60">
      <w:pPr>
        <w:rPr>
          <w:rFonts w:hint="eastAsia"/>
          <w:b/>
          <w:bCs/>
          <w:color w:val="auto"/>
          <w:sz w:val="36"/>
          <w:szCs w:val="44"/>
          <w:highlight w:val="none"/>
          <w:lang w:val="en-US" w:eastAsia="zh-CN"/>
        </w:rPr>
      </w:pPr>
      <w:r>
        <w:rPr>
          <w:rFonts w:hint="eastAsia"/>
          <w:b/>
          <w:bCs/>
          <w:color w:val="auto"/>
          <w:sz w:val="36"/>
          <w:szCs w:val="44"/>
          <w:highlight w:val="none"/>
          <w:lang w:val="en-US" w:eastAsia="zh-CN"/>
        </w:rPr>
        <w:br w:type="page"/>
      </w:r>
    </w:p>
    <w:p w14:paraId="38257C6F">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outlineLvl w:val="0"/>
        <w:rPr>
          <w:rFonts w:hint="eastAsia" w:ascii="Times New Roman" w:hAnsi="Times New Roman" w:eastAsia="宋体" w:cs="Times New Roman"/>
          <w:b/>
          <w:color w:val="auto"/>
          <w:spacing w:val="32"/>
          <w:sz w:val="32"/>
          <w:szCs w:val="32"/>
          <w:highlight w:val="none"/>
          <w:lang w:val="en-US" w:eastAsia="zh-CN"/>
        </w:rPr>
      </w:pPr>
      <w:bookmarkStart w:id="3" w:name="_Toc15030"/>
      <w:r>
        <w:rPr>
          <w:rFonts w:hint="eastAsia" w:ascii="Times New Roman" w:hAnsi="Times New Roman" w:eastAsia="宋体" w:cs="Times New Roman"/>
          <w:b/>
          <w:color w:val="auto"/>
          <w:spacing w:val="32"/>
          <w:sz w:val="32"/>
          <w:szCs w:val="32"/>
          <w:highlight w:val="none"/>
          <w:lang w:val="en-US" w:eastAsia="zh-CN"/>
        </w:rPr>
        <w:t>二、公正性和保密性承诺</w:t>
      </w:r>
      <w:bookmarkEnd w:id="3"/>
    </w:p>
    <w:p w14:paraId="29685896">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本机构是具有法人资格的独立实体，有健全的组织机构，配备了具备资格的专职人员，建立了文件化的管理体系，具有充足的资源保证。为了确保本机构始终贯彻落实公开、公正、公平、守法、诚信、独立的原则，为顾客提供优质高效服务，着力提高认证的有效性，保守客户的秘密，将公正性和保密性作为保障认证工作质量和信誉的重要内容。公司最高管理者做出以下承诺：</w:t>
      </w:r>
    </w:p>
    <w:p w14:paraId="16C7DB9E">
      <w:pPr>
        <w:keepNext w:val="0"/>
        <w:keepLines w:val="0"/>
        <w:pageBreakBefore w:val="0"/>
        <w:widowControl/>
        <w:kinsoku/>
        <w:wordWrap/>
        <w:overflowPunct/>
        <w:topLinePunct w:val="0"/>
        <w:autoSpaceDE/>
        <w:autoSpaceDN/>
        <w:bidi w:val="0"/>
        <w:adjustRightInd/>
        <w:snapToGrid/>
        <w:spacing w:before="0" w:after="0" w:line="360" w:lineRule="auto"/>
        <w:ind w:left="48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1、公正性承诺</w:t>
      </w:r>
    </w:p>
    <w:p w14:paraId="1109D2BA">
      <w:pPr>
        <w:keepNext w:val="0"/>
        <w:keepLines w:val="0"/>
        <w:pageBreakBefore w:val="0"/>
        <w:widowControl/>
        <w:kinsoku/>
        <w:wordWrap/>
        <w:overflowPunct/>
        <w:topLinePunct w:val="0"/>
        <w:autoSpaceDE/>
        <w:autoSpaceDN/>
        <w:bidi w:val="0"/>
        <w:adjustRightInd/>
        <w:snapToGrid/>
        <w:spacing w:before="0" w:after="0" w:line="360" w:lineRule="auto"/>
        <w:ind w:left="0" w:right="0" w:firstLine="416"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1"/>
          <w:sz w:val="21"/>
          <w:szCs w:val="21"/>
          <w:highlight w:val="none"/>
        </w:rPr>
        <w:t>本机构遵循中国认证法律、法规、规章及相关认可规范，确保机构运作所遵循的原则和方针以</w:t>
      </w:r>
      <w:r>
        <w:rPr>
          <w:rFonts w:hint="eastAsia" w:ascii="宋体" w:hAnsi="宋体" w:eastAsia="宋体" w:cs="宋体"/>
          <w:color w:val="auto"/>
          <w:spacing w:val="0"/>
          <w:sz w:val="21"/>
          <w:szCs w:val="21"/>
          <w:highlight w:val="none"/>
        </w:rPr>
        <w:t>及过程控制具有公正性。</w:t>
      </w:r>
    </w:p>
    <w:p w14:paraId="015DA55E">
      <w:pPr>
        <w:keepNext w:val="0"/>
        <w:keepLines w:val="0"/>
        <w:pageBreakBefore w:val="0"/>
        <w:widowControl/>
        <w:kinsoku/>
        <w:wordWrap/>
        <w:overflowPunct/>
        <w:topLinePunct w:val="0"/>
        <w:autoSpaceDE/>
        <w:autoSpaceDN/>
        <w:bidi w:val="0"/>
        <w:adjustRightInd/>
        <w:snapToGrid/>
        <w:spacing w:before="0" w:after="0" w:line="360" w:lineRule="auto"/>
        <w:ind w:left="0" w:right="0" w:firstLine="416"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1"/>
          <w:sz w:val="21"/>
          <w:szCs w:val="21"/>
          <w:highlight w:val="none"/>
        </w:rPr>
        <w:t>本机构对公正性有影响的利害关系（自身利益的威胁、自我评审的威胁、熟识(或信任)的威胁、胁迫的威胁）进行有效分析，辨识风险因素并予以管理，切实开展可信任的管理体系认证审核活动。</w:t>
      </w:r>
    </w:p>
    <w:p w14:paraId="5DDE35A6">
      <w:pPr>
        <w:keepNext w:val="0"/>
        <w:keepLines w:val="0"/>
        <w:pageBreakBefore w:val="0"/>
        <w:widowControl/>
        <w:kinsoku/>
        <w:wordWrap/>
        <w:overflowPunct/>
        <w:topLinePunct w:val="0"/>
        <w:autoSpaceDE/>
        <w:autoSpaceDN/>
        <w:bidi w:val="0"/>
        <w:adjustRightInd/>
        <w:snapToGrid/>
        <w:spacing w:before="0" w:after="0" w:line="360" w:lineRule="auto"/>
        <w:ind w:left="48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2、保密性承诺</w:t>
      </w:r>
    </w:p>
    <w:p w14:paraId="3E908277">
      <w:pPr>
        <w:keepNext w:val="0"/>
        <w:keepLines w:val="0"/>
        <w:pageBreakBefore w:val="0"/>
        <w:widowControl/>
        <w:kinsoku/>
        <w:wordWrap/>
        <w:overflowPunct/>
        <w:topLinePunct w:val="0"/>
        <w:autoSpaceDE/>
        <w:autoSpaceDN/>
        <w:bidi w:val="0"/>
        <w:adjustRightInd/>
        <w:snapToGrid/>
        <w:spacing w:before="0" w:after="0" w:line="360" w:lineRule="auto"/>
        <w:ind w:left="0" w:right="0" w:firstLine="416"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1"/>
          <w:sz w:val="21"/>
          <w:szCs w:val="21"/>
          <w:highlight w:val="none"/>
        </w:rPr>
        <w:t>1)</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3"/>
          <w:sz w:val="21"/>
          <w:szCs w:val="21"/>
          <w:highlight w:val="none"/>
        </w:rPr>
        <w:t>本机构对在认证过程中获得的有关申请方或获证组织的商业、技术等信息负有保密责任，</w:t>
      </w:r>
      <w:r>
        <w:rPr>
          <w:rFonts w:hint="eastAsia" w:ascii="宋体" w:hAnsi="宋体" w:eastAsia="宋体" w:cs="宋体"/>
          <w:color w:val="auto"/>
          <w:spacing w:val="0"/>
          <w:sz w:val="21"/>
          <w:szCs w:val="21"/>
          <w:highlight w:val="none"/>
        </w:rPr>
        <w:t>对认证工作过程中获得的有关申请方或获证组织的信息保密。</w:t>
      </w:r>
    </w:p>
    <w:p w14:paraId="068A66AB">
      <w:pPr>
        <w:keepNext w:val="0"/>
        <w:keepLines w:val="0"/>
        <w:pageBreakBefore w:val="0"/>
        <w:widowControl/>
        <w:kinsoku/>
        <w:wordWrap/>
        <w:overflowPunct/>
        <w:topLinePunct w:val="0"/>
        <w:autoSpaceDE/>
        <w:autoSpaceDN/>
        <w:bidi w:val="0"/>
        <w:adjustRightInd/>
        <w:snapToGrid/>
        <w:spacing w:before="0" w:after="0" w:line="360" w:lineRule="auto"/>
        <w:ind w:left="0" w:right="0" w:firstLine="416"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1"/>
          <w:sz w:val="21"/>
          <w:szCs w:val="21"/>
          <w:highlight w:val="none"/>
        </w:rPr>
        <w:t>2)</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0"/>
          <w:sz w:val="21"/>
          <w:szCs w:val="21"/>
          <w:highlight w:val="none"/>
        </w:rPr>
        <w:t>本机构所有与认证工作有关的人员，包括公正性委员会、技术委员会、办公人员、</w:t>
      </w:r>
      <w:r>
        <w:rPr>
          <w:rFonts w:hint="eastAsia" w:ascii="宋体" w:hAnsi="宋体" w:eastAsia="宋体" w:cs="宋体"/>
          <w:color w:val="auto"/>
          <w:spacing w:val="-3"/>
          <w:sz w:val="21"/>
          <w:szCs w:val="21"/>
          <w:highlight w:val="none"/>
        </w:rPr>
        <w:t>审核员</w:t>
      </w:r>
      <w:r>
        <w:rPr>
          <w:rFonts w:hint="eastAsia" w:ascii="宋体" w:hAnsi="宋体" w:eastAsia="宋体" w:cs="宋体"/>
          <w:color w:val="auto"/>
          <w:spacing w:val="0"/>
          <w:sz w:val="21"/>
          <w:szCs w:val="21"/>
          <w:highlight w:val="none"/>
        </w:rPr>
        <w:t>、技术专家、勤杂人员或其他参与认证活动的人员等均与本公司签订公正性和保密协议。</w:t>
      </w:r>
    </w:p>
    <w:p w14:paraId="55F36E6C">
      <w:pPr>
        <w:keepNext w:val="0"/>
        <w:keepLines w:val="0"/>
        <w:pageBreakBefore w:val="0"/>
        <w:widowControl/>
        <w:kinsoku/>
        <w:wordWrap/>
        <w:overflowPunct/>
        <w:topLinePunct w:val="0"/>
        <w:autoSpaceDE/>
        <w:autoSpaceDN/>
        <w:bidi w:val="0"/>
        <w:adjustRightInd/>
        <w:snapToGrid/>
        <w:spacing w:before="0" w:after="0" w:line="360" w:lineRule="auto"/>
        <w:ind w:left="0" w:right="0" w:firstLine="416"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1"/>
          <w:sz w:val="21"/>
          <w:szCs w:val="21"/>
          <w:highlight w:val="none"/>
        </w:rPr>
        <w:t>3)</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3"/>
          <w:sz w:val="21"/>
          <w:szCs w:val="21"/>
          <w:highlight w:val="none"/>
        </w:rPr>
        <w:t>本机构严格为所有受审核方的技术和商业信息保密，制定严格的保密制度和程序，保证各</w:t>
      </w:r>
      <w:r>
        <w:rPr>
          <w:rFonts w:hint="eastAsia" w:ascii="宋体" w:hAnsi="宋体" w:eastAsia="宋体" w:cs="宋体"/>
          <w:color w:val="auto"/>
          <w:spacing w:val="0"/>
          <w:sz w:val="21"/>
          <w:szCs w:val="21"/>
          <w:highlight w:val="none"/>
        </w:rPr>
        <w:t>级人员对在认证过程中所获信息未经受审核方书面允许，不得泄露给第三方。</w:t>
      </w:r>
    </w:p>
    <w:p w14:paraId="3A9D47E3">
      <w:pPr>
        <w:keepNext w:val="0"/>
        <w:keepLines w:val="0"/>
        <w:pageBreakBefore w:val="0"/>
        <w:widowControl/>
        <w:kinsoku/>
        <w:wordWrap/>
        <w:overflowPunct/>
        <w:topLinePunct w:val="0"/>
        <w:autoSpaceDE/>
        <w:autoSpaceDN/>
        <w:bidi w:val="0"/>
        <w:adjustRightInd/>
        <w:snapToGrid/>
        <w:spacing w:before="0" w:after="0" w:line="360" w:lineRule="auto"/>
        <w:ind w:left="0" w:right="0" w:firstLine="416"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1"/>
          <w:sz w:val="21"/>
          <w:szCs w:val="21"/>
          <w:highlight w:val="none"/>
        </w:rPr>
        <w:t>4)</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0"/>
          <w:sz w:val="21"/>
          <w:szCs w:val="21"/>
          <w:highlight w:val="none"/>
        </w:rPr>
        <w:t>在下列情况下，可以披露必要的信息：</w:t>
      </w:r>
    </w:p>
    <w:p w14:paraId="770D7C02">
      <w:pPr>
        <w:keepNext w:val="0"/>
        <w:keepLines w:val="0"/>
        <w:pageBreakBefore w:val="0"/>
        <w:widowControl/>
        <w:kinsoku/>
        <w:wordWrap/>
        <w:overflowPunct/>
        <w:topLinePunct w:val="0"/>
        <w:autoSpaceDE/>
        <w:autoSpaceDN/>
        <w:bidi w:val="0"/>
        <w:adjustRightInd/>
        <w:snapToGrid/>
        <w:spacing w:before="0" w:after="0" w:line="360" w:lineRule="auto"/>
        <w:ind w:left="0" w:right="0" w:firstLine="408" w:firstLineChars="200"/>
        <w:jc w:val="left"/>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a) 按照法律法规要求或合同安排（例如与认可机构签订的）授权本公司提供信息时；</w:t>
      </w:r>
    </w:p>
    <w:p w14:paraId="2F8B7E65">
      <w:pPr>
        <w:keepNext w:val="0"/>
        <w:keepLines w:val="0"/>
        <w:pageBreakBefore w:val="0"/>
        <w:widowControl/>
        <w:kinsoku/>
        <w:wordWrap/>
        <w:overflowPunct/>
        <w:topLinePunct w:val="0"/>
        <w:autoSpaceDE/>
        <w:autoSpaceDN/>
        <w:bidi w:val="0"/>
        <w:adjustRightInd/>
        <w:snapToGrid/>
        <w:spacing w:before="0" w:after="0" w:line="360" w:lineRule="auto"/>
        <w:ind w:left="0" w:right="0" w:firstLine="408" w:firstLineChars="200"/>
        <w:jc w:val="left"/>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b) 得到受审核方的书面同意可公开的信息。</w:t>
      </w:r>
    </w:p>
    <w:p w14:paraId="4723DC20">
      <w:pPr>
        <w:keepNext w:val="0"/>
        <w:keepLines w:val="0"/>
        <w:pageBreakBefore w:val="0"/>
        <w:widowControl/>
        <w:kinsoku/>
        <w:wordWrap/>
        <w:overflowPunct/>
        <w:topLinePunct w:val="0"/>
        <w:autoSpaceDE/>
        <w:autoSpaceDN/>
        <w:bidi w:val="0"/>
        <w:adjustRightInd/>
        <w:snapToGrid/>
        <w:spacing w:before="0" w:after="0" w:line="360" w:lineRule="auto"/>
        <w:ind w:left="0" w:right="0" w:firstLine="408" w:firstLineChars="200"/>
        <w:jc w:val="left"/>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5) 下列信息不属于保密范围：</w:t>
      </w:r>
    </w:p>
    <w:p w14:paraId="2CC751DA">
      <w:pPr>
        <w:keepNext w:val="0"/>
        <w:keepLines w:val="0"/>
        <w:pageBreakBefore w:val="0"/>
        <w:widowControl/>
        <w:kinsoku/>
        <w:wordWrap/>
        <w:overflowPunct/>
        <w:topLinePunct w:val="0"/>
        <w:autoSpaceDE/>
        <w:autoSpaceDN/>
        <w:bidi w:val="0"/>
        <w:adjustRightInd/>
        <w:snapToGrid/>
        <w:spacing w:before="0" w:after="0" w:line="360" w:lineRule="auto"/>
        <w:ind w:left="0" w:right="0" w:firstLine="408" w:firstLineChars="200"/>
        <w:jc w:val="left"/>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a) 本机构在出版物或网站上公布的关于已认证组织认证状态的信息。</w:t>
      </w:r>
    </w:p>
    <w:p w14:paraId="62145420">
      <w:pPr>
        <w:keepNext w:val="0"/>
        <w:keepLines w:val="0"/>
        <w:pageBreakBefore w:val="0"/>
        <w:widowControl/>
        <w:kinsoku/>
        <w:wordWrap/>
        <w:overflowPunct/>
        <w:topLinePunct w:val="0"/>
        <w:autoSpaceDE/>
        <w:autoSpaceDN/>
        <w:bidi w:val="0"/>
        <w:adjustRightInd/>
        <w:snapToGrid/>
        <w:spacing w:before="0" w:after="0" w:line="360" w:lineRule="auto"/>
        <w:ind w:left="0" w:right="0" w:firstLine="408"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3"/>
          <w:sz w:val="21"/>
          <w:szCs w:val="21"/>
          <w:highlight w:val="none"/>
        </w:rPr>
        <w:t>b) 某组织被认证、</w:t>
      </w:r>
      <w:r>
        <w:rPr>
          <w:rFonts w:hint="eastAsia" w:ascii="宋体" w:hAnsi="宋体" w:eastAsia="宋体" w:cs="宋体"/>
          <w:color w:val="auto"/>
          <w:spacing w:val="0"/>
          <w:sz w:val="21"/>
          <w:szCs w:val="21"/>
          <w:highlight w:val="none"/>
        </w:rPr>
        <w:t>拒绝认证、暂停或撤销认证资格、扩大或缩小认证范围的事实（不是原因）及认证范围的详细情况。</w:t>
      </w:r>
    </w:p>
    <w:p w14:paraId="094F7B07">
      <w:pPr>
        <w:rPr>
          <w:rFonts w:hint="eastAsia" w:ascii="Times New Roman" w:hAnsi="Times New Roman" w:eastAsia="宋体" w:cs="Times New Roman"/>
          <w:b/>
          <w:color w:val="auto"/>
          <w:spacing w:val="32"/>
          <w:sz w:val="32"/>
          <w:szCs w:val="32"/>
          <w:highlight w:val="none"/>
          <w:lang w:val="en-US" w:eastAsia="zh-CN"/>
        </w:rPr>
      </w:pPr>
      <w:r>
        <w:rPr>
          <w:rFonts w:hint="eastAsia" w:ascii="Times New Roman" w:hAnsi="Times New Roman" w:eastAsia="宋体" w:cs="Times New Roman"/>
          <w:b/>
          <w:color w:val="auto"/>
          <w:spacing w:val="32"/>
          <w:sz w:val="32"/>
          <w:szCs w:val="32"/>
          <w:highlight w:val="none"/>
          <w:lang w:val="en-US" w:eastAsia="zh-CN"/>
        </w:rPr>
        <w:br w:type="page"/>
      </w:r>
    </w:p>
    <w:p w14:paraId="4EA92325">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outlineLvl w:val="0"/>
        <w:rPr>
          <w:rFonts w:hint="eastAsia" w:ascii="Times New Roman" w:hAnsi="Times New Roman" w:eastAsia="宋体" w:cs="Times New Roman"/>
          <w:b/>
          <w:color w:val="auto"/>
          <w:spacing w:val="32"/>
          <w:sz w:val="32"/>
          <w:szCs w:val="32"/>
          <w:highlight w:val="none"/>
          <w:lang w:val="en-US" w:eastAsia="zh-CN"/>
        </w:rPr>
      </w:pPr>
      <w:bookmarkStart w:id="4" w:name="_Toc9907"/>
      <w:r>
        <w:rPr>
          <w:rFonts w:hint="eastAsia" w:ascii="Times New Roman" w:hAnsi="Times New Roman" w:eastAsia="宋体" w:cs="Times New Roman"/>
          <w:b/>
          <w:color w:val="auto"/>
          <w:spacing w:val="32"/>
          <w:sz w:val="32"/>
          <w:szCs w:val="32"/>
          <w:highlight w:val="none"/>
          <w:lang w:val="en-US" w:eastAsia="zh-CN"/>
        </w:rPr>
        <w:t>三、资质</w:t>
      </w:r>
      <w:bookmarkEnd w:id="4"/>
    </w:p>
    <w:p w14:paraId="6661E073">
      <w:pPr>
        <w:keepNext w:val="0"/>
        <w:keepLines w:val="0"/>
        <w:pageBreakBefore w:val="0"/>
        <w:widowControl/>
        <w:kinsoku/>
        <w:wordWrap/>
        <w:overflowPunct/>
        <w:topLinePunct w:val="0"/>
        <w:autoSpaceDE/>
        <w:autoSpaceDN/>
        <w:bidi w:val="0"/>
        <w:adjustRightInd/>
        <w:snapToGrid/>
        <w:spacing w:before="0" w:after="0" w:line="360" w:lineRule="auto"/>
        <w:ind w:left="0" w:right="0" w:firstLine="480" w:firstLineChars="200"/>
        <w:jc w:val="left"/>
        <w:textAlignment w:val="auto"/>
        <w:rPr>
          <w:rFonts w:hint="default" w:ascii="仿宋" w:hAnsi="仿宋" w:eastAsia="仿宋" w:cs="仿宋"/>
          <w:color w:val="auto"/>
          <w:spacing w:val="0"/>
          <w:sz w:val="24"/>
          <w:szCs w:val="24"/>
          <w:highlight w:val="none"/>
          <w:lang w:val="en-US" w:eastAsia="zh-CN"/>
        </w:rPr>
      </w:pPr>
      <w:r>
        <w:rPr>
          <w:rFonts w:hint="default" w:ascii="仿宋" w:hAnsi="仿宋" w:eastAsia="仿宋" w:cs="仿宋"/>
          <w:color w:val="auto"/>
          <w:spacing w:val="0"/>
          <w:sz w:val="24"/>
          <w:szCs w:val="24"/>
          <w:highlight w:val="none"/>
          <w:lang w:val="en-US" w:eastAsia="zh-CN"/>
        </w:rPr>
        <w:drawing>
          <wp:inline distT="0" distB="0" distL="114300" distR="114300">
            <wp:extent cx="6096000" cy="8609330"/>
            <wp:effectExtent l="0" t="0" r="0" b="1270"/>
            <wp:docPr id="7" name="图片 7" descr="批准书-春晖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批准书-春晖_1"/>
                    <pic:cNvPicPr>
                      <a:picLocks noChangeAspect="1"/>
                    </pic:cNvPicPr>
                  </pic:nvPicPr>
                  <pic:blipFill>
                    <a:blip r:embed="rId7"/>
                    <a:stretch>
                      <a:fillRect/>
                    </a:stretch>
                  </pic:blipFill>
                  <pic:spPr>
                    <a:xfrm>
                      <a:off x="0" y="0"/>
                      <a:ext cx="6096000" cy="8609330"/>
                    </a:xfrm>
                    <a:prstGeom prst="rect">
                      <a:avLst/>
                    </a:prstGeom>
                  </pic:spPr>
                </pic:pic>
              </a:graphicData>
            </a:graphic>
          </wp:inline>
        </w:drawing>
      </w:r>
    </w:p>
    <w:p w14:paraId="49763BEC">
      <w:pPr>
        <w:pageBreakBefore w:val="0"/>
        <w:shd w:val="clear"/>
        <w:kinsoku/>
        <w:overflowPunct/>
        <w:topLinePunct w:val="0"/>
        <w:autoSpaceDE/>
        <w:autoSpaceDN/>
        <w:bidi w:val="0"/>
        <w:outlineLvl w:val="9"/>
        <w:rPr>
          <w:rStyle w:val="61"/>
          <w:rFonts w:hint="default"/>
          <w:color w:val="auto"/>
          <w:highlight w:val="none"/>
          <w:lang w:val="en-US" w:eastAsia="zh-CN"/>
        </w:rPr>
      </w:pPr>
      <w:r>
        <w:rPr>
          <w:rStyle w:val="61"/>
          <w:rFonts w:hint="default"/>
          <w:color w:val="auto"/>
          <w:highlight w:val="none"/>
          <w:lang w:val="en-US" w:eastAsia="zh-CN"/>
        </w:rPr>
        <w:drawing>
          <wp:inline distT="0" distB="0" distL="114300" distR="114300">
            <wp:extent cx="6096000" cy="8609330"/>
            <wp:effectExtent l="0" t="0" r="0" b="1270"/>
            <wp:docPr id="8" name="图片 8" descr="批准书-春晖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批准书-春晖_2"/>
                    <pic:cNvPicPr>
                      <a:picLocks noChangeAspect="1"/>
                    </pic:cNvPicPr>
                  </pic:nvPicPr>
                  <pic:blipFill>
                    <a:blip r:embed="rId8"/>
                    <a:stretch>
                      <a:fillRect/>
                    </a:stretch>
                  </pic:blipFill>
                  <pic:spPr>
                    <a:xfrm>
                      <a:off x="0" y="0"/>
                      <a:ext cx="6096000" cy="8609330"/>
                    </a:xfrm>
                    <a:prstGeom prst="rect">
                      <a:avLst/>
                    </a:prstGeom>
                  </pic:spPr>
                </pic:pic>
              </a:graphicData>
            </a:graphic>
          </wp:inline>
        </w:drawing>
      </w:r>
    </w:p>
    <w:p w14:paraId="1B562F2A">
      <w:pPr>
        <w:rPr>
          <w:rStyle w:val="61"/>
          <w:rFonts w:hint="eastAsia"/>
          <w:color w:val="auto"/>
          <w:highlight w:val="none"/>
          <w:lang w:val="en-US" w:eastAsia="zh-CN"/>
        </w:rPr>
      </w:pPr>
      <w:r>
        <w:rPr>
          <w:rStyle w:val="61"/>
          <w:rFonts w:hint="eastAsia"/>
          <w:color w:val="auto"/>
          <w:highlight w:val="none"/>
          <w:lang w:val="en-US" w:eastAsia="zh-CN"/>
        </w:rPr>
        <w:br w:type="page"/>
      </w:r>
    </w:p>
    <w:p w14:paraId="4FEA0448">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outlineLvl w:val="0"/>
        <w:rPr>
          <w:rFonts w:hint="default" w:ascii="Times New Roman" w:hAnsi="Times New Roman" w:eastAsia="宋体" w:cs="Times New Roman"/>
          <w:b/>
          <w:color w:val="auto"/>
          <w:spacing w:val="32"/>
          <w:sz w:val="32"/>
          <w:szCs w:val="32"/>
          <w:highlight w:val="none"/>
          <w:lang w:val="en-US" w:eastAsia="zh-CN"/>
        </w:rPr>
      </w:pPr>
      <w:bookmarkStart w:id="5" w:name="_Toc30938"/>
      <w:r>
        <w:rPr>
          <w:rFonts w:hint="eastAsia" w:ascii="Times New Roman" w:hAnsi="Times New Roman" w:eastAsia="宋体" w:cs="Times New Roman"/>
          <w:b/>
          <w:color w:val="auto"/>
          <w:spacing w:val="32"/>
          <w:sz w:val="32"/>
          <w:szCs w:val="32"/>
          <w:highlight w:val="none"/>
          <w:lang w:val="en-US" w:eastAsia="zh-CN"/>
        </w:rPr>
        <w:t>四、拟认证组织须知</w:t>
      </w:r>
      <w:bookmarkEnd w:id="5"/>
    </w:p>
    <w:p w14:paraId="7F9F6BBF">
      <w:pPr>
        <w:spacing w:before="0" w:after="0" w:line="0" w:lineRule="exact"/>
        <w:ind w:left="0" w:right="0" w:firstLine="0"/>
        <w:jc w:val="left"/>
        <w:rPr>
          <w:rFonts w:ascii="Arial"/>
          <w:color w:val="auto"/>
          <w:spacing w:val="0"/>
          <w:sz w:val="2"/>
          <w:highlight w:val="none"/>
        </w:rPr>
      </w:pPr>
    </w:p>
    <w:p w14:paraId="36EE528E">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1"/>
          <w:sz w:val="21"/>
          <w:szCs w:val="21"/>
          <w:highlight w:val="none"/>
        </w:rPr>
        <w:t>目的</w:t>
      </w:r>
    </w:p>
    <w:p w14:paraId="5537BBA7">
      <w:pPr>
        <w:keepNext w:val="0"/>
        <w:keepLines w:val="0"/>
        <w:pageBreakBefore w:val="0"/>
        <w:widowControl/>
        <w:kinsoku/>
        <w:wordWrap/>
        <w:overflowPunct/>
        <w:topLinePunct w:val="0"/>
        <w:autoSpaceDE/>
        <w:autoSpaceDN/>
        <w:bidi w:val="0"/>
        <w:adjustRightInd/>
        <w:snapToGrid/>
        <w:spacing w:before="0" w:after="0" w:line="360" w:lineRule="auto"/>
        <w:ind w:left="42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为了让拟申请认证的组织（以下称申请方）了解认证程序，特制定本说明。</w:t>
      </w:r>
    </w:p>
    <w:p w14:paraId="01510E51">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0"/>
          <w:sz w:val="21"/>
          <w:szCs w:val="21"/>
          <w:highlight w:val="none"/>
        </w:rPr>
        <w:t>适用范围</w:t>
      </w:r>
    </w:p>
    <w:p w14:paraId="5F565DE3">
      <w:pPr>
        <w:keepNext w:val="0"/>
        <w:keepLines w:val="0"/>
        <w:pageBreakBefore w:val="0"/>
        <w:widowControl/>
        <w:kinsoku/>
        <w:wordWrap/>
        <w:overflowPunct/>
        <w:topLinePunct w:val="0"/>
        <w:autoSpaceDE/>
        <w:autoSpaceDN/>
        <w:bidi w:val="0"/>
        <w:adjustRightInd/>
        <w:snapToGrid/>
        <w:spacing w:before="0" w:after="0" w:line="360" w:lineRule="auto"/>
        <w:ind w:right="0" w:firstLine="412"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2"/>
          <w:sz w:val="21"/>
          <w:szCs w:val="21"/>
          <w:highlight w:val="none"/>
        </w:rPr>
        <w:t>适用于拟申请质量管理体系(含工程建设施工企业质量管理体系)、环境管理体系、职业健康安全</w:t>
      </w:r>
      <w:r>
        <w:rPr>
          <w:rFonts w:hint="eastAsia" w:ascii="宋体" w:hAnsi="宋体" w:eastAsia="宋体" w:cs="宋体"/>
          <w:color w:val="auto"/>
          <w:spacing w:val="0"/>
          <w:sz w:val="21"/>
          <w:szCs w:val="21"/>
          <w:highlight w:val="none"/>
        </w:rPr>
        <w:t>管理体系等管理体系认证的组织。</w:t>
      </w:r>
    </w:p>
    <w:p w14:paraId="22376C0C">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0"/>
          <w:sz w:val="21"/>
          <w:szCs w:val="21"/>
          <w:highlight w:val="none"/>
        </w:rPr>
        <w:t>申请认证的条件及提交的资料</w:t>
      </w:r>
    </w:p>
    <w:p w14:paraId="2DABC4A4">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rPr>
        <w:t>3.1 申请方需具备的</w:t>
      </w:r>
      <w:r>
        <w:rPr>
          <w:rFonts w:hint="eastAsia" w:ascii="宋体" w:hAnsi="宋体" w:eastAsia="宋体" w:cs="宋体"/>
          <w:color w:val="auto"/>
          <w:spacing w:val="0"/>
          <w:sz w:val="21"/>
          <w:szCs w:val="21"/>
          <w:highlight w:val="none"/>
          <w:lang w:val="en-US" w:eastAsia="zh-CN"/>
        </w:rPr>
        <w:t>通用</w:t>
      </w:r>
      <w:r>
        <w:rPr>
          <w:rFonts w:hint="eastAsia" w:ascii="宋体" w:hAnsi="宋体" w:eastAsia="宋体" w:cs="宋体"/>
          <w:color w:val="auto"/>
          <w:spacing w:val="0"/>
          <w:sz w:val="21"/>
          <w:szCs w:val="21"/>
          <w:highlight w:val="none"/>
        </w:rPr>
        <w:t>条件</w:t>
      </w:r>
      <w:r>
        <w:rPr>
          <w:rFonts w:hint="eastAsia" w:ascii="宋体" w:hAnsi="宋体" w:eastAsia="宋体" w:cs="宋体"/>
          <w:color w:val="auto"/>
          <w:spacing w:val="0"/>
          <w:sz w:val="21"/>
          <w:szCs w:val="21"/>
          <w:highlight w:val="none"/>
          <w:lang w:val="en-US" w:eastAsia="zh-CN"/>
        </w:rPr>
        <w:t>资料</w:t>
      </w:r>
    </w:p>
    <w:p w14:paraId="30CB05BC">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a）取得合法主体资格，并处于有效期内；</w:t>
      </w:r>
    </w:p>
    <w:p w14:paraId="78D31A3B">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b）遵守国家质量、环境、职业健康安全的法律、法规、标准及其他要求；</w:t>
      </w:r>
    </w:p>
    <w:p w14:paraId="6002D2CD">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c）按体系标准建立了文件化的管理体系，且运行不少于3个月（建工6个月）。</w:t>
      </w:r>
    </w:p>
    <w:p w14:paraId="665DD572">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d）取得相关法律法规规定的行政许可（适用时），并处于有效期内；</w:t>
      </w:r>
    </w:p>
    <w:p w14:paraId="00CF8CA6">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e）因获证组织自身原因被原发证机构暂停或撤销认证证书已满一年（适用时）；</w:t>
      </w:r>
    </w:p>
    <w:p w14:paraId="279ABF6A">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f）原认证证书发证机构被国家认监委撤销认证资质已满三个月（适用时）；</w:t>
      </w:r>
    </w:p>
    <w:p w14:paraId="11AFD324">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g）当前未被行政监管部门责令停产停业整顿；</w:t>
      </w:r>
    </w:p>
    <w:p w14:paraId="22604CFB">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h）当前未被列入“国家企业信用公示系统”和“信用中国”发布的严重违法失信名单，未被应急管理部门列入安全生产严重失信主体名单；</w:t>
      </w:r>
    </w:p>
    <w:p w14:paraId="5D0E53E7">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i）一年内未发生被行政监管部门责令停产停业整顿的重大质量/安全/环境事故；</w:t>
      </w:r>
    </w:p>
    <w:p w14:paraId="2242D9AD">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注：突发环境事件及其级别的判定依据《国家突发环境事件应急预案》。</w:t>
      </w:r>
    </w:p>
    <w:p w14:paraId="2082D7F8">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注：事故等级划分依据《生产安全事故报告和调查处理条例》。</w:t>
      </w:r>
    </w:p>
    <w:p w14:paraId="3D14F250">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j）一年内申请认证范围内的产品未发生产品质量国家监督抽查不合格，或发生产品质量国家监督抽查不合格但已按照规定整改合格；(适用于QMS)</w:t>
      </w:r>
    </w:p>
    <w:p w14:paraId="32B9ED3E">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k）拟认证的OHSMS范围所覆盖的活动符合相关OHSMS法律法规要求，不存在故意的和持续的违法行为。(适用于OHSMS)</w:t>
      </w:r>
    </w:p>
    <w:p w14:paraId="7A0B169E">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m)其他应具备的条件</w:t>
      </w:r>
    </w:p>
    <w:p w14:paraId="1119C41A">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0"/>
          <w:sz w:val="21"/>
          <w:szCs w:val="21"/>
          <w:highlight w:val="none"/>
        </w:rPr>
        <w:t>3.2</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2"/>
          <w:sz w:val="21"/>
          <w:szCs w:val="21"/>
          <w:highlight w:val="none"/>
          <w:lang w:val="en-US" w:eastAsia="zh-CN"/>
        </w:rPr>
        <w:t>质量管理体系或服务认证需提交资料：</w:t>
      </w:r>
    </w:p>
    <w:p w14:paraId="33A3FF84">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a.申请方法律地位证明文件（如：有效期内的营业执照、组织机构代码证（适用时），具体参考工商等有关部门最新法律法规要求核准资质有效性）；当体系覆盖多个法律实体时，应提供每个法律实体的法律地位证明文件。</w:t>
      </w:r>
    </w:p>
    <w:p w14:paraId="2BC9BB80">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b.申请认证范围所涉及的质量法律法规要求的且处于有效期内的行政许可证明、资质证书、强制性认证证书等；</w:t>
      </w:r>
    </w:p>
    <w:p w14:paraId="0E8A10CF">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c.有效的管理体系文件，包括：组织机构及职责、管理体系方针、目标和范围，以及标准要求的相关管理体系文件化的信息，如果组织确定质量管理体系标准的某些要求不适用于其质量管理体系范围，应在申请书中说明理由；内部审核和管理评审报告；</w:t>
      </w:r>
    </w:p>
    <w:p w14:paraId="6B720554">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d.生产/服务的流程、班次及轮班情况和季节性信息。</w:t>
      </w:r>
    </w:p>
    <w:p w14:paraId="11786170">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e.QMS运行满三个月的证据；</w:t>
      </w:r>
    </w:p>
    <w:p w14:paraId="5EEB5278">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f.一年内发生的质量事故、与质量相关的行政处罚、产品质量国家监督抽查不合格、其他质量抽查不合格的情况以及整改情况；</w:t>
      </w:r>
    </w:p>
    <w:p w14:paraId="300F2B10">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g.当存在复杂发证的情况，如一个组织多个名称等情况，需满足本文件附录 A 的申请受理条件；</w:t>
      </w:r>
    </w:p>
    <w:p w14:paraId="6C05F0B4">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h.认证范围如涉及多场所（由总部和若干个分部组成的组织），应提供固定多场所/临时多场所/多名称组织分布情况表,描述清楚每个场所的认证范围，总部距离等信息；</w:t>
      </w:r>
    </w:p>
    <w:p w14:paraId="12F0E9AA">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i.认证范围如涉及临时场所（非固定场所），如：工程建筑施工项目的施工现场，系统集成等，应提供临时场所清单。工程建筑施工的项目还应提交竣工工程项目清单。</w:t>
      </w:r>
    </w:p>
    <w:p w14:paraId="6564848A">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j.应在申请书中填写接受与管理体系有关的咨询的情况。</w:t>
      </w:r>
    </w:p>
    <w:p w14:paraId="59C442E4">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k.其他需要提供的文件。</w:t>
      </w:r>
    </w:p>
    <w:p w14:paraId="6614DD89">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lang w:val="en-US" w:eastAsia="zh-CN"/>
        </w:rPr>
        <w:t>3.3 申请</w:t>
      </w:r>
      <w:r>
        <w:rPr>
          <w:rFonts w:hint="eastAsia" w:ascii="宋体" w:hAnsi="宋体" w:eastAsia="宋体" w:cs="宋体"/>
          <w:color w:val="auto"/>
          <w:spacing w:val="-2"/>
          <w:sz w:val="21"/>
          <w:szCs w:val="21"/>
          <w:highlight w:val="none"/>
        </w:rPr>
        <w:t>环境、职业健康安全管理体系</w:t>
      </w:r>
      <w:r>
        <w:rPr>
          <w:rFonts w:hint="eastAsia" w:ascii="宋体" w:hAnsi="宋体" w:eastAsia="宋体" w:cs="宋体"/>
          <w:color w:val="auto"/>
          <w:spacing w:val="-2"/>
          <w:sz w:val="21"/>
          <w:szCs w:val="21"/>
          <w:highlight w:val="none"/>
          <w:lang w:val="en-US" w:eastAsia="zh-CN"/>
        </w:rPr>
        <w:t>认证组织除提供3.2中的所需资料外，还应提供以下资料：</w:t>
      </w:r>
    </w:p>
    <w:p w14:paraId="475CB7AA">
      <w:pPr>
        <w:keepNext w:val="0"/>
        <w:keepLines w:val="0"/>
        <w:pageBreakBefore w:val="0"/>
        <w:widowControl/>
        <w:kinsoku/>
        <w:wordWrap/>
        <w:overflowPunct/>
        <w:topLinePunct w:val="0"/>
        <w:autoSpaceDE/>
        <w:autoSpaceDN/>
        <w:bidi w:val="0"/>
        <w:adjustRightInd/>
        <w:snapToGrid/>
        <w:spacing w:before="0" w:after="0" w:line="360" w:lineRule="auto"/>
        <w:ind w:left="0" w:right="0" w:firstLine="412"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2"/>
          <w:sz w:val="21"/>
          <w:szCs w:val="21"/>
          <w:highlight w:val="none"/>
          <w:lang w:val="en-US" w:eastAsia="zh-CN"/>
        </w:rPr>
        <w:t>a.与申请认证</w:t>
      </w:r>
      <w:r>
        <w:rPr>
          <w:rFonts w:hint="eastAsia" w:ascii="宋体" w:hAnsi="宋体" w:eastAsia="宋体" w:cs="宋体"/>
          <w:color w:val="auto"/>
          <w:spacing w:val="0"/>
          <w:sz w:val="21"/>
          <w:szCs w:val="21"/>
          <w:highlight w:val="none"/>
          <w:lang w:val="en-US" w:eastAsia="zh-CN"/>
        </w:rPr>
        <w:t>范围有关的行政许可文件、资质证书，以及申请认证范围所涉及的环境法律法规要求的排污许可证、环评批复等；</w:t>
      </w:r>
    </w:p>
    <w:p w14:paraId="31680814">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b.生产/服务的流程、班次及轮班情况和季节性信息，所识别的重要环境因素信息以及任何适用的环境法规中的有关的法律义务。</w:t>
      </w:r>
    </w:p>
    <w:p w14:paraId="254BB91B">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c.EMS 运行满三个月的证据；</w:t>
      </w:r>
    </w:p>
    <w:p w14:paraId="1577C4AD">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d.一年内所发生的突发环境事件、与环境相关的行政处罚以及整改情况；</w:t>
      </w:r>
    </w:p>
    <w:p w14:paraId="02B3CE5C">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E.重要环境因素清单，适用的法律法规清单；</w:t>
      </w:r>
    </w:p>
    <w:p w14:paraId="0CB665DC">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f.新改扩建项目，根据环境影响评价相关法律法规的要求，需提供环境影响评价文件，如环境影响报告书、报告表、登记表或环保备案，适用时提供环评报告/环保备案报告、环评批复/环保备案批复、环保项目骏工验收报告。</w:t>
      </w:r>
    </w:p>
    <w:p w14:paraId="087D2109">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g.主要污染物近一年监测报告（适用时）；</w:t>
      </w:r>
    </w:p>
    <w:p w14:paraId="25C0D3A4">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h.受审核方的环境管理体系所覆盖的活动区域的平面图和管网示意图（至少包括污水、雨水管网）（适用时）。</w:t>
      </w:r>
    </w:p>
    <w:p w14:paraId="5E272E53">
      <w:pPr>
        <w:keepNext w:val="0"/>
        <w:keepLines w:val="0"/>
        <w:pageBreakBefore w:val="0"/>
        <w:widowControl/>
        <w:kinsoku/>
        <w:wordWrap/>
        <w:overflowPunct/>
        <w:topLinePunct w:val="0"/>
        <w:autoSpaceDE/>
        <w:autoSpaceDN/>
        <w:bidi w:val="0"/>
        <w:adjustRightInd/>
        <w:snapToGrid/>
        <w:spacing w:before="0" w:after="0" w:line="360" w:lineRule="auto"/>
        <w:ind w:left="0" w:right="0" w:firstLine="412" w:firstLineChars="200"/>
        <w:jc w:val="left"/>
        <w:textAlignment w:val="auto"/>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lang w:val="en-US" w:eastAsia="zh-CN"/>
        </w:rPr>
        <w:t>i.其他</w:t>
      </w:r>
      <w:r>
        <w:rPr>
          <w:rFonts w:hint="eastAsia" w:ascii="宋体" w:hAnsi="宋体" w:eastAsia="宋体" w:cs="宋体"/>
          <w:color w:val="auto"/>
          <w:spacing w:val="0"/>
          <w:sz w:val="21"/>
          <w:szCs w:val="21"/>
          <w:highlight w:val="none"/>
          <w:lang w:val="en-US" w:eastAsia="zh-CN"/>
        </w:rPr>
        <w:t>需要</w:t>
      </w:r>
      <w:r>
        <w:rPr>
          <w:rFonts w:hint="eastAsia" w:ascii="宋体" w:hAnsi="宋体" w:eastAsia="宋体" w:cs="宋体"/>
          <w:color w:val="auto"/>
          <w:spacing w:val="-2"/>
          <w:sz w:val="21"/>
          <w:szCs w:val="21"/>
          <w:highlight w:val="none"/>
          <w:lang w:val="en-US" w:eastAsia="zh-CN"/>
        </w:rPr>
        <w:t>提供的文件。</w:t>
      </w:r>
    </w:p>
    <w:p w14:paraId="37BD6720">
      <w:pPr>
        <w:keepNext w:val="0"/>
        <w:keepLines w:val="0"/>
        <w:pageBreakBefore w:val="0"/>
        <w:widowControl/>
        <w:kinsoku/>
        <w:wordWrap/>
        <w:overflowPunct/>
        <w:topLinePunct w:val="0"/>
        <w:autoSpaceDE/>
        <w:autoSpaceDN/>
        <w:bidi w:val="0"/>
        <w:adjustRightInd/>
        <w:snapToGrid/>
        <w:spacing w:before="0" w:after="0" w:line="360" w:lineRule="auto"/>
        <w:ind w:left="0" w:right="0" w:firstLine="412" w:firstLineChars="200"/>
        <w:jc w:val="left"/>
        <w:textAlignment w:val="auto"/>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lang w:val="en-US" w:eastAsia="zh-CN"/>
        </w:rPr>
        <w:t>注：对于高风险行业在受理认证申请时，还应要求受审核方提供下述资料：受审核方守法证明，</w:t>
      </w:r>
      <w:r>
        <w:rPr>
          <w:rFonts w:hint="eastAsia" w:ascii="宋体" w:hAnsi="宋体" w:eastAsia="宋体" w:cs="宋体"/>
          <w:color w:val="auto"/>
          <w:spacing w:val="0"/>
          <w:sz w:val="21"/>
          <w:szCs w:val="21"/>
          <w:highlight w:val="none"/>
          <w:lang w:val="en-US" w:eastAsia="zh-CN"/>
        </w:rPr>
        <w:t>环境</w:t>
      </w:r>
      <w:r>
        <w:rPr>
          <w:rFonts w:hint="eastAsia" w:ascii="宋体" w:hAnsi="宋体" w:eastAsia="宋体" w:cs="宋体"/>
          <w:color w:val="auto"/>
          <w:spacing w:val="-2"/>
          <w:sz w:val="21"/>
          <w:szCs w:val="21"/>
          <w:highlight w:val="none"/>
          <w:lang w:val="en-US" w:eastAsia="zh-CN"/>
        </w:rPr>
        <w:t>影响评价报告批复页（复印件），“三同时”验收批文复印件，相关法律资质安全生产许可证，排污许可证，采矿许可证等。</w:t>
      </w:r>
    </w:p>
    <w:p w14:paraId="7FCF46E2">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lang w:val="en-US" w:eastAsia="zh-CN"/>
        </w:rPr>
        <w:t>3.4 申请职业健康安全管理体系认证组织除提供 3.2 中的所需资料外，还应提供以下资料：</w:t>
      </w:r>
    </w:p>
    <w:p w14:paraId="5169CEF4">
      <w:pPr>
        <w:keepNext w:val="0"/>
        <w:keepLines w:val="0"/>
        <w:pageBreakBefore w:val="0"/>
        <w:widowControl/>
        <w:kinsoku/>
        <w:wordWrap/>
        <w:overflowPunct/>
        <w:topLinePunct w:val="0"/>
        <w:autoSpaceDE/>
        <w:autoSpaceDN/>
        <w:bidi w:val="0"/>
        <w:adjustRightInd/>
        <w:snapToGrid/>
        <w:spacing w:before="0" w:after="0" w:line="360" w:lineRule="auto"/>
        <w:ind w:left="0" w:right="0" w:firstLine="412"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2"/>
          <w:sz w:val="21"/>
          <w:szCs w:val="21"/>
          <w:highlight w:val="none"/>
          <w:lang w:val="en-US" w:eastAsia="zh-CN"/>
        </w:rPr>
        <w:t>a.申请认证范围</w:t>
      </w:r>
      <w:r>
        <w:rPr>
          <w:rFonts w:hint="eastAsia" w:ascii="宋体" w:hAnsi="宋体" w:eastAsia="宋体" w:cs="宋体"/>
          <w:color w:val="auto"/>
          <w:spacing w:val="0"/>
          <w:sz w:val="21"/>
          <w:szCs w:val="21"/>
          <w:highlight w:val="none"/>
          <w:lang w:val="en-US" w:eastAsia="zh-CN"/>
        </w:rPr>
        <w:t>所涉及的OHSMS 法律法规要求的行政许可文件、资质证书等；</w:t>
      </w:r>
    </w:p>
    <w:p w14:paraId="0F7E013C">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b.生产/服务的流程、班次及轮班情况和季节性信息，所识别的主要危险源和OHSMS 风险，所使用的主要危险材料以及任何适用的OHSMS 法规中有关的法律义务；</w:t>
      </w:r>
    </w:p>
    <w:p w14:paraId="17BCB6B5">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c.OHSMS 运行满三个月的证据；</w:t>
      </w:r>
    </w:p>
    <w:p w14:paraId="4C3F1BF7">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d.一年内所发生的生产安全事故、职业病情况及与OHSMS相关的行政处罚以及整改情况（适用时）。</w:t>
      </w:r>
    </w:p>
    <w:p w14:paraId="4854C999">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e.不可接受风险清单，适用法律法规清单；</w:t>
      </w:r>
    </w:p>
    <w:p w14:paraId="420807DE">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f.安全情况简介，包括近一年中是否发生事故及处理情况（适用时）；</w:t>
      </w:r>
    </w:p>
    <w:p w14:paraId="2BDF0EDC">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g.有相应要求的职业卫生监测、“安评”批复及安评验收报告（适用时）。</w:t>
      </w:r>
    </w:p>
    <w:p w14:paraId="204F1E6E">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h.其他需要提供的文件。</w:t>
      </w:r>
    </w:p>
    <w:p w14:paraId="1672ADC3">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0"/>
          <w:sz w:val="21"/>
          <w:szCs w:val="21"/>
          <w:highlight w:val="none"/>
          <w:lang w:val="en-US" w:eastAsia="zh-CN"/>
        </w:rPr>
        <w:t>注：对于高风险行业在受理认</w:t>
      </w:r>
      <w:r>
        <w:rPr>
          <w:rFonts w:hint="eastAsia" w:ascii="宋体" w:hAnsi="宋体" w:eastAsia="宋体" w:cs="宋体"/>
          <w:color w:val="auto"/>
          <w:spacing w:val="-2"/>
          <w:sz w:val="21"/>
          <w:szCs w:val="21"/>
          <w:highlight w:val="none"/>
          <w:lang w:val="en-US" w:eastAsia="zh-CN"/>
        </w:rPr>
        <w:t>证申请时，还应要求受审核方提供下述资料：受审核方守法证明，作业环境毒、尘、噪监测报告（需达标），“三同时”验收批文复印件，相关法律资质安全生产许可证，排污许可证，采矿许可证等。</w:t>
      </w:r>
    </w:p>
    <w:p w14:paraId="3B575908">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4 认证程序</w:t>
      </w:r>
    </w:p>
    <w:p w14:paraId="6F01F73D">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4.1 答复询问</w:t>
      </w:r>
    </w:p>
    <w:p w14:paraId="3EB4AD53">
      <w:pPr>
        <w:keepNext w:val="0"/>
        <w:keepLines w:val="0"/>
        <w:pageBreakBefore w:val="0"/>
        <w:widowControl/>
        <w:kinsoku/>
        <w:wordWrap/>
        <w:overflowPunct/>
        <w:topLinePunct w:val="0"/>
        <w:autoSpaceDE/>
        <w:autoSpaceDN/>
        <w:bidi w:val="0"/>
        <w:adjustRightInd/>
        <w:snapToGrid/>
        <w:spacing w:before="0" w:after="0" w:line="360" w:lineRule="auto"/>
        <w:ind w:left="0" w:right="0" w:firstLine="408" w:firstLineChars="200"/>
        <w:jc w:val="left"/>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申请方可通过电话、函件或面谈向本机构或分支机构询问业务范围、管理体系认证的流程、报价及有关情况，索取资料。</w:t>
      </w:r>
    </w:p>
    <w:p w14:paraId="7D0AE1F1">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4.2 认证申请</w:t>
      </w:r>
    </w:p>
    <w:p w14:paraId="665F0C2D">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4.2.1 申请方了解本机构情况后，可在公司网站下载《</w:t>
      </w:r>
      <w:r>
        <w:rPr>
          <w:rFonts w:hint="eastAsia" w:ascii="宋体" w:hAnsi="宋体" w:eastAsia="宋体" w:cs="宋体"/>
          <w:color w:val="auto"/>
          <w:spacing w:val="-3"/>
          <w:sz w:val="21"/>
          <w:szCs w:val="21"/>
          <w:highlight w:val="none"/>
          <w:lang w:val="en-GB"/>
        </w:rPr>
        <w:t>认证申请表</w:t>
      </w:r>
      <w:r>
        <w:rPr>
          <w:rFonts w:hint="eastAsia" w:ascii="宋体" w:hAnsi="宋体" w:eastAsia="宋体" w:cs="宋体"/>
          <w:color w:val="auto"/>
          <w:spacing w:val="-3"/>
          <w:sz w:val="21"/>
          <w:szCs w:val="21"/>
          <w:highlight w:val="none"/>
        </w:rPr>
        <w:t xml:space="preserve">》，如实填写相关内容并提供所要求的附件，发邮件至 </w:t>
      </w:r>
      <w:r>
        <w:rPr>
          <w:rFonts w:hint="eastAsia" w:ascii="宋体" w:hAnsi="宋体" w:eastAsia="宋体" w:cs="宋体"/>
          <w:color w:val="auto"/>
          <w:spacing w:val="-3"/>
          <w:sz w:val="21"/>
          <w:szCs w:val="21"/>
          <w:highlight w:val="none"/>
          <w:lang w:val="en-US" w:eastAsia="zh-CN"/>
        </w:rPr>
        <w:t>56260128@qq.</w:t>
      </w:r>
      <w:r>
        <w:rPr>
          <w:rFonts w:hint="eastAsia" w:ascii="宋体" w:hAnsi="宋体" w:eastAsia="宋体" w:cs="宋体"/>
          <w:color w:val="auto"/>
          <w:spacing w:val="-3"/>
          <w:sz w:val="21"/>
          <w:szCs w:val="21"/>
          <w:highlight w:val="none"/>
        </w:rPr>
        <w:t>com。</w:t>
      </w:r>
    </w:p>
    <w:p w14:paraId="5A01D227">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特别说明：根据国家认监委与住房和城乡建设部联合发布的《关于在建筑施工领域质量管理体系认证中应用〈工程建设施工企业质量管理规范〉的公告》（ 2010 年 21 号）的规定，自 2010 年11 月 1 日起，在中国境内对建筑施工企业实施质量管理体系认证时，应依据 GB/T 19001《质量管理体系 要求》和 GB/T 50430《工程建设施工企业质量管理规范》。</w:t>
      </w:r>
    </w:p>
    <w:p w14:paraId="5DD94198">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4.2.2 由本机构对所提交的认证资料进行评审，确认所提交资料符合要求，经双方协商签订认证合同（认证合同电子版可在本机构网站获取，也可致电公司索取）；甲乙双方依合同约定进行认证活动。</w:t>
      </w:r>
    </w:p>
    <w:p w14:paraId="5D94B1EE">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4.2.3 本机构不接受申请的，应向申请方说明原因。当拒绝认证申请时，本机构应不违背</w:t>
      </w:r>
      <w:r>
        <w:rPr>
          <w:rFonts w:hint="eastAsia" w:ascii="宋体" w:hAnsi="宋体" w:eastAsia="宋体" w:cs="宋体"/>
          <w:color w:val="auto"/>
          <w:spacing w:val="-3"/>
          <w:sz w:val="21"/>
          <w:szCs w:val="21"/>
          <w:highlight w:val="none"/>
          <w:lang w:eastAsia="zh-CN"/>
        </w:rPr>
        <w:t>《公正性与保密承诺》</w:t>
      </w:r>
      <w:r>
        <w:rPr>
          <w:rFonts w:hint="eastAsia" w:ascii="宋体" w:hAnsi="宋体" w:eastAsia="宋体" w:cs="宋体"/>
          <w:color w:val="auto"/>
          <w:spacing w:val="-3"/>
          <w:sz w:val="21"/>
          <w:szCs w:val="21"/>
          <w:highlight w:val="none"/>
        </w:rPr>
        <w:t>。</w:t>
      </w:r>
    </w:p>
    <w:p w14:paraId="061AF98E">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4.3 审核</w:t>
      </w:r>
    </w:p>
    <w:p w14:paraId="5B16E63F">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4.3.1 管理体系的初次认证实行两个阶段审核（第一阶段审核、第二阶段审核）。</w:t>
      </w:r>
    </w:p>
    <w:p w14:paraId="346CCB8B">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4.3.2 第一阶段审核</w:t>
      </w:r>
    </w:p>
    <w:p w14:paraId="6CE1A6FF">
      <w:pPr>
        <w:keepNext w:val="0"/>
        <w:keepLines w:val="0"/>
        <w:pageBreakBefore w:val="0"/>
        <w:widowControl/>
        <w:kinsoku/>
        <w:wordWrap/>
        <w:overflowPunct/>
        <w:topLinePunct w:val="0"/>
        <w:autoSpaceDE/>
        <w:autoSpaceDN/>
        <w:bidi w:val="0"/>
        <w:adjustRightInd/>
        <w:snapToGrid/>
        <w:spacing w:before="0" w:after="0" w:line="360" w:lineRule="auto"/>
        <w:ind w:left="0" w:right="0" w:firstLine="408" w:firstLineChars="200"/>
        <w:jc w:val="left"/>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审核组应评价受审核方的管理体系的实施程度能否证明已为二阶段审核做好准备，并将第一阶段审核发现书面告知受审核方。</w:t>
      </w:r>
    </w:p>
    <w:p w14:paraId="7CEE1905">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4.3.3 第二阶段审核</w:t>
      </w:r>
    </w:p>
    <w:p w14:paraId="08763140">
      <w:pPr>
        <w:keepNext w:val="0"/>
        <w:keepLines w:val="0"/>
        <w:pageBreakBefore w:val="0"/>
        <w:widowControl/>
        <w:kinsoku/>
        <w:wordWrap/>
        <w:overflowPunct/>
        <w:topLinePunct w:val="0"/>
        <w:autoSpaceDE/>
        <w:autoSpaceDN/>
        <w:bidi w:val="0"/>
        <w:adjustRightInd/>
        <w:snapToGrid/>
        <w:spacing w:before="0" w:after="0" w:line="360" w:lineRule="auto"/>
        <w:ind w:left="0" w:right="0" w:firstLine="408" w:firstLineChars="200"/>
        <w:jc w:val="left"/>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第二阶段审核的目的是评价客户管理体系的实施情况，包括有效性。</w:t>
      </w:r>
    </w:p>
    <w:p w14:paraId="36D6B30D">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4.3.4 审核计划</w:t>
      </w:r>
    </w:p>
    <w:p w14:paraId="4C001E76">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4.3.4.1 管理体系的审核计划分第一阶段和第二阶段审核计划.</w:t>
      </w:r>
    </w:p>
    <w:p w14:paraId="65CFF546">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4.3.4.2 审核组长一般在正式现场审核前一周以上将审核计划传给申请方，申请方可以对日程安排及其他问题提出修改意见，由组长修改后向申请方发出正式计划。</w:t>
      </w:r>
    </w:p>
    <w:p w14:paraId="1A7668EB">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4.3.5 现场审核</w:t>
      </w:r>
    </w:p>
    <w:p w14:paraId="78581EF7">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4.3.5.1 首次会议</w:t>
      </w:r>
    </w:p>
    <w:p w14:paraId="2E9E3FAE">
      <w:pPr>
        <w:keepNext w:val="0"/>
        <w:keepLines w:val="0"/>
        <w:pageBreakBefore w:val="0"/>
        <w:widowControl/>
        <w:kinsoku/>
        <w:wordWrap/>
        <w:overflowPunct/>
        <w:topLinePunct w:val="0"/>
        <w:autoSpaceDE/>
        <w:autoSpaceDN/>
        <w:bidi w:val="0"/>
        <w:adjustRightInd/>
        <w:snapToGrid/>
        <w:spacing w:before="0" w:after="0" w:line="360" w:lineRule="auto"/>
        <w:ind w:left="0" w:right="0" w:firstLine="408" w:firstLineChars="200"/>
        <w:jc w:val="left"/>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首次会议由组长主持，时间一般不超过半小时。</w:t>
      </w:r>
    </w:p>
    <w:p w14:paraId="521331DC">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3"/>
          <w:sz w:val="21"/>
          <w:szCs w:val="21"/>
          <w:highlight w:val="none"/>
        </w:rPr>
        <w:t>4</w:t>
      </w:r>
      <w:r>
        <w:rPr>
          <w:rFonts w:hint="eastAsia" w:ascii="宋体" w:hAnsi="宋体" w:eastAsia="宋体" w:cs="宋体"/>
          <w:color w:val="auto"/>
          <w:spacing w:val="0"/>
          <w:sz w:val="21"/>
          <w:szCs w:val="21"/>
          <w:highlight w:val="none"/>
        </w:rPr>
        <w:t>.3.5.2 现场审核</w:t>
      </w:r>
    </w:p>
    <w:p w14:paraId="43C64EB2">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按预定计划进行，如有特殊情况需调整计划可与组长协商。</w:t>
      </w:r>
    </w:p>
    <w:p w14:paraId="5CE7E460">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4.3.5.3 末次会议</w:t>
      </w:r>
    </w:p>
    <w:p w14:paraId="3F221D64">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末次会议由</w:t>
      </w:r>
      <w:r>
        <w:rPr>
          <w:rFonts w:hint="eastAsia" w:ascii="宋体" w:hAnsi="宋体" w:eastAsia="宋体" w:cs="宋体"/>
          <w:color w:val="auto"/>
          <w:spacing w:val="-3"/>
          <w:sz w:val="21"/>
          <w:szCs w:val="21"/>
          <w:highlight w:val="none"/>
        </w:rPr>
        <w:t>审核</w:t>
      </w:r>
      <w:r>
        <w:rPr>
          <w:rFonts w:hint="eastAsia" w:ascii="宋体" w:hAnsi="宋体" w:eastAsia="宋体" w:cs="宋体"/>
          <w:color w:val="auto"/>
          <w:spacing w:val="0"/>
          <w:sz w:val="21"/>
          <w:szCs w:val="21"/>
          <w:highlight w:val="none"/>
        </w:rPr>
        <w:t>组长主持。主要报告受审核方管理体系运行的整体情况、存在问题、审核结论及管理体系运行情况、问题点等。</w:t>
      </w:r>
    </w:p>
    <w:p w14:paraId="5340C843">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4.3.5.4</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0"/>
          <w:sz w:val="21"/>
          <w:szCs w:val="21"/>
          <w:highlight w:val="none"/>
        </w:rPr>
        <w:t>整改要求</w:t>
      </w:r>
    </w:p>
    <w:p w14:paraId="0AFC75C9">
      <w:pPr>
        <w:keepNext w:val="0"/>
        <w:keepLines w:val="0"/>
        <w:pageBreakBefore w:val="0"/>
        <w:widowControl/>
        <w:kinsoku/>
        <w:wordWrap/>
        <w:overflowPunct/>
        <w:topLinePunct w:val="0"/>
        <w:autoSpaceDE/>
        <w:autoSpaceDN/>
        <w:bidi w:val="0"/>
        <w:adjustRightInd/>
        <w:snapToGrid/>
        <w:spacing w:before="0" w:after="0" w:line="360" w:lineRule="auto"/>
        <w:ind w:left="0" w:right="0" w:firstLine="424"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1"/>
          <w:sz w:val="21"/>
          <w:szCs w:val="21"/>
          <w:highlight w:val="none"/>
        </w:rPr>
        <w:t>受审核方应按照审核报告要求时间对不符合项予以纠正并采取纠正措施，并将书面材料报本机</w:t>
      </w:r>
      <w:r>
        <w:rPr>
          <w:rFonts w:hint="eastAsia" w:ascii="宋体" w:hAnsi="宋体" w:eastAsia="宋体" w:cs="宋体"/>
          <w:color w:val="auto"/>
          <w:spacing w:val="0"/>
          <w:sz w:val="21"/>
          <w:szCs w:val="21"/>
          <w:highlight w:val="none"/>
        </w:rPr>
        <w:t>构，经验证通过后提交技委会做出认证决定。</w:t>
      </w:r>
    </w:p>
    <w:p w14:paraId="44C65796">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4.3.6</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0"/>
          <w:sz w:val="21"/>
          <w:szCs w:val="21"/>
          <w:highlight w:val="none"/>
        </w:rPr>
        <w:t>批准、拒绝及其他与证书有关的事项说明</w:t>
      </w:r>
    </w:p>
    <w:p w14:paraId="04FA03C0">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4.3.6.1</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0"/>
          <w:sz w:val="21"/>
          <w:szCs w:val="21"/>
          <w:highlight w:val="none"/>
        </w:rPr>
        <w:t>批准认证注册的条件：</w:t>
      </w:r>
    </w:p>
    <w:p w14:paraId="1DEC2D01">
      <w:pPr>
        <w:keepNext w:val="0"/>
        <w:keepLines w:val="0"/>
        <w:pageBreakBefore w:val="0"/>
        <w:widowControl/>
        <w:kinsoku/>
        <w:wordWrap/>
        <w:overflowPunct/>
        <w:topLinePunct w:val="0"/>
        <w:autoSpaceDE/>
        <w:autoSpaceDN/>
        <w:bidi w:val="0"/>
        <w:adjustRightInd/>
        <w:snapToGrid/>
        <w:spacing w:before="0" w:after="0" w:line="360" w:lineRule="auto"/>
        <w:ind w:left="0" w:right="0" w:firstLine="416"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1"/>
          <w:sz w:val="21"/>
          <w:szCs w:val="21"/>
          <w:highlight w:val="none"/>
        </w:rPr>
        <w:t>a)</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0"/>
          <w:sz w:val="21"/>
          <w:szCs w:val="21"/>
          <w:highlight w:val="none"/>
        </w:rPr>
        <w:t>受审核方</w:t>
      </w:r>
      <w:r>
        <w:rPr>
          <w:rFonts w:hint="eastAsia" w:ascii="宋体" w:hAnsi="宋体" w:eastAsia="宋体" w:cs="宋体"/>
          <w:color w:val="auto"/>
          <w:spacing w:val="-3"/>
          <w:sz w:val="21"/>
          <w:szCs w:val="21"/>
          <w:highlight w:val="none"/>
        </w:rPr>
        <w:t>具有</w:t>
      </w:r>
      <w:r>
        <w:rPr>
          <w:rFonts w:hint="eastAsia" w:ascii="宋体" w:hAnsi="宋体" w:eastAsia="宋体" w:cs="宋体"/>
          <w:color w:val="auto"/>
          <w:spacing w:val="0"/>
          <w:sz w:val="21"/>
          <w:szCs w:val="21"/>
          <w:highlight w:val="none"/>
        </w:rPr>
        <w:t>法人地位，具有必要的行政许可证明，并在认证过程中履行了应尽的责任和义务；</w:t>
      </w:r>
    </w:p>
    <w:p w14:paraId="066FD690">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b)</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2"/>
          <w:sz w:val="21"/>
          <w:szCs w:val="21"/>
          <w:highlight w:val="none"/>
        </w:rPr>
        <w:t>受审核方管理体系覆盖产品/服务符合国家/地方/行业标准要求，一年内未发生违反相关法律、</w:t>
      </w:r>
      <w:r>
        <w:rPr>
          <w:rFonts w:hint="eastAsia" w:ascii="宋体" w:hAnsi="宋体" w:eastAsia="宋体" w:cs="宋体"/>
          <w:color w:val="auto"/>
          <w:spacing w:val="0"/>
          <w:sz w:val="21"/>
          <w:szCs w:val="21"/>
          <w:highlight w:val="none"/>
        </w:rPr>
        <w:t>法规的事故；</w:t>
      </w:r>
    </w:p>
    <w:p w14:paraId="10498D67">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c)</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3"/>
          <w:sz w:val="21"/>
          <w:szCs w:val="21"/>
          <w:highlight w:val="none"/>
        </w:rPr>
        <w:t>受审核方具有符合适用标准或其它引用的规范性文件要求的文件化的管理体系（适用时）；</w:t>
      </w:r>
    </w:p>
    <w:p w14:paraId="2020D71D">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d)</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0"/>
          <w:sz w:val="21"/>
          <w:szCs w:val="21"/>
          <w:highlight w:val="none"/>
        </w:rPr>
        <w:t>审核组按本机构程序规定完成认证审核且经技委会批准注册。</w:t>
      </w:r>
    </w:p>
    <w:p w14:paraId="0E72E94F">
      <w:pPr>
        <w:keepNext w:val="0"/>
        <w:keepLines w:val="0"/>
        <w:pageBreakBefore w:val="0"/>
        <w:widowControl/>
        <w:kinsoku/>
        <w:wordWrap/>
        <w:overflowPunct/>
        <w:topLinePunct w:val="0"/>
        <w:autoSpaceDE/>
        <w:autoSpaceDN/>
        <w:bidi w:val="0"/>
        <w:adjustRightInd/>
        <w:snapToGrid/>
        <w:spacing w:before="0" w:after="0" w:line="360" w:lineRule="auto"/>
        <w:ind w:left="0" w:right="0" w:firstLine="412"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2"/>
          <w:sz w:val="21"/>
          <w:szCs w:val="21"/>
          <w:highlight w:val="none"/>
        </w:rPr>
        <w:t>e)</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pacing w:val="0"/>
          <w:sz w:val="21"/>
          <w:szCs w:val="21"/>
          <w:highlight w:val="none"/>
        </w:rPr>
        <w:t>受</w:t>
      </w:r>
      <w:r>
        <w:rPr>
          <w:rFonts w:hint="eastAsia" w:ascii="宋体" w:hAnsi="宋体" w:eastAsia="宋体" w:cs="宋体"/>
          <w:color w:val="auto"/>
          <w:spacing w:val="-3"/>
          <w:sz w:val="21"/>
          <w:szCs w:val="21"/>
          <w:highlight w:val="none"/>
        </w:rPr>
        <w:t>审核方</w:t>
      </w:r>
      <w:r>
        <w:rPr>
          <w:rFonts w:hint="eastAsia" w:ascii="宋体" w:hAnsi="宋体" w:eastAsia="宋体" w:cs="宋体"/>
          <w:color w:val="auto"/>
          <w:spacing w:val="0"/>
          <w:sz w:val="21"/>
          <w:szCs w:val="21"/>
          <w:highlight w:val="none"/>
        </w:rPr>
        <w:t>按认证收费规定交纳有关认证费用。</w:t>
      </w:r>
    </w:p>
    <w:p w14:paraId="64DA6EBD">
      <w:pPr>
        <w:keepNext w:val="0"/>
        <w:keepLines w:val="0"/>
        <w:pageBreakBefore w:val="0"/>
        <w:widowControl/>
        <w:kinsoku/>
        <w:wordWrap/>
        <w:overflowPunct/>
        <w:topLinePunct w:val="0"/>
        <w:autoSpaceDE/>
        <w:autoSpaceDN/>
        <w:bidi w:val="0"/>
        <w:adjustRightInd/>
        <w:snapToGrid/>
        <w:spacing w:before="0" w:after="0" w:line="360" w:lineRule="auto"/>
        <w:ind w:left="42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不满足上述要求则做出不予批准的认证决定。</w:t>
      </w:r>
    </w:p>
    <w:p w14:paraId="7BFC00D0">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4.3.6.2 </w:t>
      </w:r>
      <w:r>
        <w:rPr>
          <w:rFonts w:hint="eastAsia" w:ascii="宋体" w:hAnsi="宋体" w:eastAsia="宋体" w:cs="宋体"/>
          <w:color w:val="auto"/>
          <w:spacing w:val="-5"/>
          <w:sz w:val="21"/>
          <w:szCs w:val="21"/>
          <w:highlight w:val="none"/>
        </w:rPr>
        <w:t>获证后与认证有关的事项说明见《获证组织须知》。</w:t>
      </w:r>
    </w:p>
    <w:p w14:paraId="3AB87DDB">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4.4 </w:t>
      </w:r>
      <w:r>
        <w:rPr>
          <w:rFonts w:hint="eastAsia" w:ascii="宋体" w:hAnsi="宋体" w:eastAsia="宋体" w:cs="宋体"/>
          <w:color w:val="auto"/>
          <w:spacing w:val="-1"/>
          <w:sz w:val="21"/>
          <w:szCs w:val="21"/>
          <w:highlight w:val="none"/>
        </w:rPr>
        <w:t>预审</w:t>
      </w:r>
    </w:p>
    <w:p w14:paraId="18FBD27A">
      <w:pPr>
        <w:keepNext w:val="0"/>
        <w:keepLines w:val="0"/>
        <w:pageBreakBefore w:val="0"/>
        <w:widowControl/>
        <w:kinsoku/>
        <w:wordWrap/>
        <w:overflowPunct/>
        <w:topLinePunct w:val="0"/>
        <w:autoSpaceDE/>
        <w:autoSpaceDN/>
        <w:bidi w:val="0"/>
        <w:adjustRightInd/>
        <w:snapToGrid/>
        <w:spacing w:before="0" w:after="0" w:line="360" w:lineRule="auto"/>
        <w:ind w:left="42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在正式审核前，申请方可提出管理体系预审核，其收费按初审费的</w:t>
      </w:r>
      <w:r>
        <w:rPr>
          <w:rFonts w:hint="eastAsia" w:ascii="宋体" w:hAnsi="宋体" w:eastAsia="宋体" w:cs="宋体"/>
          <w:color w:val="auto"/>
          <w:spacing w:val="-1"/>
          <w:sz w:val="21"/>
          <w:szCs w:val="21"/>
          <w:highlight w:val="none"/>
        </w:rPr>
        <w:t xml:space="preserve"> 50％。</w:t>
      </w:r>
    </w:p>
    <w:p w14:paraId="52E2C868">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4.5 </w:t>
      </w:r>
      <w:r>
        <w:rPr>
          <w:rFonts w:hint="eastAsia" w:ascii="宋体" w:hAnsi="宋体" w:eastAsia="宋体" w:cs="宋体"/>
          <w:color w:val="auto"/>
          <w:spacing w:val="-6"/>
          <w:sz w:val="21"/>
          <w:szCs w:val="21"/>
          <w:highlight w:val="none"/>
        </w:rPr>
        <w:t>证书和标志的使用详见《获证组织须知》。</w:t>
      </w:r>
    </w:p>
    <w:p w14:paraId="54FF343C">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4.6 对我司的不满意可按《获证组织须知》进行投诉/申诉。</w:t>
      </w:r>
    </w:p>
    <w:p w14:paraId="3EA6BFE1">
      <w:pPr>
        <w:rPr>
          <w:rStyle w:val="61"/>
          <w:rFonts w:hint="eastAsia"/>
          <w:color w:val="auto"/>
          <w:highlight w:val="none"/>
          <w:lang w:val="en-US" w:eastAsia="zh-CN"/>
        </w:rPr>
      </w:pPr>
      <w:r>
        <w:rPr>
          <w:rStyle w:val="61"/>
          <w:rFonts w:hint="eastAsia"/>
          <w:color w:val="auto"/>
          <w:highlight w:val="none"/>
          <w:lang w:val="en-US" w:eastAsia="zh-CN"/>
        </w:rPr>
        <w:br w:type="page"/>
      </w:r>
    </w:p>
    <w:p w14:paraId="179A3955">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outlineLvl w:val="0"/>
        <w:rPr>
          <w:rFonts w:hint="eastAsia" w:ascii="Times New Roman" w:hAnsi="Times New Roman" w:eastAsia="宋体" w:cs="Times New Roman"/>
          <w:b/>
          <w:color w:val="auto"/>
          <w:spacing w:val="32"/>
          <w:sz w:val="32"/>
          <w:szCs w:val="32"/>
          <w:highlight w:val="none"/>
          <w:lang w:val="en-US" w:eastAsia="zh-CN"/>
        </w:rPr>
      </w:pPr>
      <w:bookmarkStart w:id="6" w:name="_Toc8317"/>
      <w:r>
        <w:rPr>
          <w:rFonts w:hint="eastAsia" w:ascii="Times New Roman" w:hAnsi="Times New Roman" w:eastAsia="宋体" w:cs="Times New Roman"/>
          <w:b/>
          <w:color w:val="auto"/>
          <w:spacing w:val="32"/>
          <w:sz w:val="32"/>
          <w:szCs w:val="32"/>
          <w:highlight w:val="none"/>
          <w:lang w:val="en-US" w:eastAsia="zh-CN"/>
        </w:rPr>
        <w:t>五、CHRZ认证收费标准</w:t>
      </w:r>
      <w:bookmarkEnd w:id="6"/>
    </w:p>
    <w:p w14:paraId="739F78F2">
      <w:pPr>
        <w:pageBreakBefore w:val="0"/>
        <w:shd w:val="clear"/>
        <w:kinsoku/>
        <w:overflowPunct/>
        <w:topLinePunct w:val="0"/>
        <w:autoSpaceDE/>
        <w:autoSpaceDN/>
        <w:bidi w:val="0"/>
        <w:spacing w:line="360" w:lineRule="auto"/>
        <w:ind w:firstLine="3534" w:firstLineChars="1100"/>
        <w:outlineLvl w:val="9"/>
        <w:rPr>
          <w:rStyle w:val="61"/>
          <w:color w:val="auto"/>
          <w:highlight w:val="none"/>
        </w:rPr>
      </w:pPr>
    </w:p>
    <w:p w14:paraId="3EBD49BF">
      <w:pPr>
        <w:keepNext w:val="0"/>
        <w:keepLines w:val="0"/>
        <w:pageBreakBefore w:val="0"/>
        <w:widowControl/>
        <w:kinsoku/>
        <w:wordWrap/>
        <w:overflowPunct/>
        <w:topLinePunct w:val="0"/>
        <w:autoSpaceDE/>
        <w:autoSpaceDN/>
        <w:bidi w:val="0"/>
        <w:adjustRightInd/>
        <w:snapToGrid/>
        <w:spacing w:before="0" w:after="0" w:line="360" w:lineRule="auto"/>
        <w:ind w:right="0"/>
        <w:jc w:val="left"/>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1.认证收费原则</w:t>
      </w:r>
    </w:p>
    <w:p w14:paraId="3059BD9A">
      <w:pPr>
        <w:keepNext w:val="0"/>
        <w:keepLines w:val="0"/>
        <w:pageBreakBefore w:val="0"/>
        <w:widowControl/>
        <w:kinsoku/>
        <w:wordWrap/>
        <w:overflowPunct/>
        <w:topLinePunct w:val="0"/>
        <w:autoSpaceDE/>
        <w:autoSpaceDN/>
        <w:bidi w:val="0"/>
        <w:adjustRightInd/>
        <w:snapToGrid/>
        <w:spacing w:before="0" w:after="0" w:line="360" w:lineRule="auto"/>
        <w:ind w:left="0" w:right="0" w:firstLine="416" w:firstLineChars="200"/>
        <w:jc w:val="left"/>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 xml:space="preserve">1.1 </w:t>
      </w:r>
      <w:r>
        <w:rPr>
          <w:rFonts w:hint="eastAsia" w:ascii="宋体" w:hAnsi="宋体" w:eastAsia="宋体" w:cs="宋体"/>
          <w:color w:val="auto"/>
          <w:spacing w:val="-1"/>
          <w:sz w:val="21"/>
          <w:szCs w:val="21"/>
          <w:highlight w:val="none"/>
          <w:lang w:eastAsia="zh-CN"/>
        </w:rPr>
        <w:t>CHRZ</w:t>
      </w:r>
      <w:r>
        <w:rPr>
          <w:rFonts w:hint="eastAsia" w:ascii="宋体" w:hAnsi="宋体" w:eastAsia="宋体" w:cs="宋体"/>
          <w:color w:val="auto"/>
          <w:spacing w:val="-1"/>
          <w:sz w:val="21"/>
          <w:szCs w:val="21"/>
          <w:highlight w:val="none"/>
        </w:rPr>
        <w:t>获得财务收入的方式以不影响认证的公正性为准则；</w:t>
      </w:r>
    </w:p>
    <w:p w14:paraId="562BBC5B">
      <w:pPr>
        <w:keepNext w:val="0"/>
        <w:keepLines w:val="0"/>
        <w:pageBreakBefore w:val="0"/>
        <w:widowControl/>
        <w:kinsoku/>
        <w:wordWrap/>
        <w:overflowPunct/>
        <w:topLinePunct w:val="0"/>
        <w:autoSpaceDE/>
        <w:autoSpaceDN/>
        <w:bidi w:val="0"/>
        <w:adjustRightInd/>
        <w:snapToGrid/>
        <w:spacing w:before="0" w:after="0" w:line="360" w:lineRule="auto"/>
        <w:ind w:left="0" w:right="0" w:firstLine="416" w:firstLineChars="200"/>
        <w:jc w:val="left"/>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1.2 财务收入来源为认证收费和其它正当收入；</w:t>
      </w:r>
    </w:p>
    <w:p w14:paraId="5C4994AC">
      <w:pPr>
        <w:keepNext w:val="0"/>
        <w:keepLines w:val="0"/>
        <w:pageBreakBefore w:val="0"/>
        <w:widowControl/>
        <w:kinsoku/>
        <w:wordWrap/>
        <w:overflowPunct/>
        <w:topLinePunct w:val="0"/>
        <w:autoSpaceDE/>
        <w:autoSpaceDN/>
        <w:bidi w:val="0"/>
        <w:adjustRightInd/>
        <w:snapToGrid/>
        <w:spacing w:before="0" w:after="0" w:line="360" w:lineRule="auto"/>
        <w:ind w:left="0" w:right="0" w:firstLine="416" w:firstLineChars="200"/>
        <w:jc w:val="left"/>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1.3 认证收入用于维持</w:t>
      </w:r>
      <w:r>
        <w:rPr>
          <w:rFonts w:hint="eastAsia" w:ascii="宋体" w:hAnsi="宋体" w:eastAsia="宋体" w:cs="宋体"/>
          <w:color w:val="auto"/>
          <w:spacing w:val="-1"/>
          <w:sz w:val="21"/>
          <w:szCs w:val="21"/>
          <w:highlight w:val="none"/>
          <w:lang w:eastAsia="zh-CN"/>
        </w:rPr>
        <w:t>CHRZ</w:t>
      </w:r>
      <w:r>
        <w:rPr>
          <w:rFonts w:hint="eastAsia" w:ascii="宋体" w:hAnsi="宋体" w:eastAsia="宋体" w:cs="宋体"/>
          <w:color w:val="auto"/>
          <w:spacing w:val="-1"/>
          <w:sz w:val="21"/>
          <w:szCs w:val="21"/>
          <w:highlight w:val="none"/>
        </w:rPr>
        <w:t>认证活动的正常进行，不以盈利为目的，实施有偿服务。</w:t>
      </w:r>
    </w:p>
    <w:p w14:paraId="56143C5F">
      <w:pPr>
        <w:keepNext w:val="0"/>
        <w:keepLines w:val="0"/>
        <w:pageBreakBefore w:val="0"/>
        <w:widowControl/>
        <w:kinsoku/>
        <w:wordWrap/>
        <w:overflowPunct/>
        <w:topLinePunct w:val="0"/>
        <w:autoSpaceDE/>
        <w:autoSpaceDN/>
        <w:bidi w:val="0"/>
        <w:adjustRightInd/>
        <w:snapToGrid/>
        <w:spacing w:before="0" w:after="0" w:line="360" w:lineRule="auto"/>
        <w:ind w:right="0"/>
        <w:jc w:val="left"/>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2.认证收费</w:t>
      </w:r>
    </w:p>
    <w:p w14:paraId="0978E3DA">
      <w:pPr>
        <w:keepNext w:val="0"/>
        <w:keepLines w:val="0"/>
        <w:pageBreakBefore w:val="0"/>
        <w:widowControl/>
        <w:kinsoku/>
        <w:wordWrap/>
        <w:overflowPunct/>
        <w:topLinePunct w:val="0"/>
        <w:autoSpaceDE/>
        <w:autoSpaceDN/>
        <w:bidi w:val="0"/>
        <w:adjustRightInd/>
        <w:snapToGrid/>
        <w:spacing w:before="0" w:after="0" w:line="360" w:lineRule="auto"/>
        <w:ind w:left="0" w:right="0" w:firstLine="416" w:firstLineChars="200"/>
        <w:jc w:val="left"/>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2.1 认证收费标准</w:t>
      </w:r>
    </w:p>
    <w:p w14:paraId="24D0E6F0">
      <w:pPr>
        <w:keepNext w:val="0"/>
        <w:keepLines w:val="0"/>
        <w:pageBreakBefore w:val="0"/>
        <w:widowControl/>
        <w:kinsoku/>
        <w:wordWrap/>
        <w:overflowPunct/>
        <w:topLinePunct w:val="0"/>
        <w:autoSpaceDE/>
        <w:autoSpaceDN/>
        <w:bidi w:val="0"/>
        <w:adjustRightInd/>
        <w:snapToGrid/>
        <w:spacing w:before="0" w:after="0" w:line="360" w:lineRule="auto"/>
        <w:ind w:left="0" w:right="0" w:firstLine="416" w:firstLineChars="200"/>
        <w:jc w:val="left"/>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根据国家发展计划委员会和国家质量技术监督局《质量管理体系认证收费标准》，特制定</w:t>
      </w:r>
      <w:r>
        <w:rPr>
          <w:rFonts w:hint="eastAsia" w:ascii="宋体" w:hAnsi="宋体" w:eastAsia="宋体" w:cs="宋体"/>
          <w:color w:val="auto"/>
          <w:spacing w:val="-1"/>
          <w:sz w:val="21"/>
          <w:szCs w:val="21"/>
          <w:highlight w:val="none"/>
          <w:lang w:eastAsia="zh-CN"/>
        </w:rPr>
        <w:t>CHRZ</w:t>
      </w:r>
      <w:r>
        <w:rPr>
          <w:rFonts w:hint="eastAsia" w:ascii="宋体" w:hAnsi="宋体" w:eastAsia="宋体" w:cs="宋体"/>
          <w:color w:val="auto"/>
          <w:spacing w:val="-1"/>
          <w:sz w:val="21"/>
          <w:szCs w:val="21"/>
          <w:highlight w:val="none"/>
        </w:rPr>
        <w:t>公司管理体系认证收费标准。</w:t>
      </w:r>
    </w:p>
    <w:tbl>
      <w:tblPr>
        <w:tblStyle w:val="36"/>
        <w:tblW w:w="4998" w:type="pct"/>
        <w:tblInd w:w="0" w:type="dxa"/>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996"/>
        <w:gridCol w:w="3043"/>
        <w:gridCol w:w="1908"/>
        <w:gridCol w:w="3669"/>
      </w:tblGrid>
      <w:tr w14:paraId="30B9C3A0">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0" w:type="dxa"/>
            <w:left w:w="0" w:type="dxa"/>
            <w:bottom w:w="0" w:type="dxa"/>
            <w:right w:w="0" w:type="dxa"/>
          </w:tblCellMar>
        </w:tblPrEx>
        <w:trPr>
          <w:trHeight w:val="360" w:hRule="atLeast"/>
        </w:trPr>
        <w:tc>
          <w:tcPr>
            <w:tcW w:w="518" w:type="pct"/>
            <w:tcBorders>
              <w:top w:val="single" w:color="auto" w:sz="4" w:space="0"/>
              <w:left w:val="single" w:color="auto" w:sz="4" w:space="0"/>
              <w:bottom w:val="single" w:color="auto" w:sz="4" w:space="0"/>
              <w:right w:val="single" w:color="auto" w:sz="4" w:space="0"/>
            </w:tcBorders>
            <w:shd w:val="clear" w:color="auto" w:fill="FFFFFF"/>
            <w:vAlign w:val="center"/>
          </w:tcPr>
          <w:p w14:paraId="31CEA0B9">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序号</w:t>
            </w:r>
          </w:p>
        </w:tc>
        <w:tc>
          <w:tcPr>
            <w:tcW w:w="1582" w:type="pct"/>
            <w:tcBorders>
              <w:top w:val="single" w:color="auto" w:sz="4" w:space="0"/>
              <w:left w:val="single" w:color="auto" w:sz="4" w:space="0"/>
              <w:bottom w:val="single" w:color="auto" w:sz="4" w:space="0"/>
              <w:right w:val="single" w:color="auto" w:sz="4" w:space="0"/>
            </w:tcBorders>
            <w:shd w:val="clear" w:color="auto" w:fill="FFFFFF"/>
            <w:vAlign w:val="center"/>
          </w:tcPr>
          <w:p w14:paraId="34E1D9DE">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收费项目</w:t>
            </w:r>
          </w:p>
        </w:tc>
        <w:tc>
          <w:tcPr>
            <w:tcW w:w="992" w:type="pct"/>
            <w:tcBorders>
              <w:top w:val="single" w:color="auto" w:sz="4" w:space="0"/>
              <w:left w:val="single" w:color="auto" w:sz="4" w:space="0"/>
              <w:bottom w:val="single" w:color="auto" w:sz="4" w:space="0"/>
              <w:right w:val="single" w:color="auto" w:sz="4" w:space="0"/>
            </w:tcBorders>
            <w:shd w:val="clear" w:color="auto" w:fill="FFFFFF"/>
            <w:vAlign w:val="center"/>
          </w:tcPr>
          <w:p w14:paraId="2E736423">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收费标准</w:t>
            </w:r>
          </w:p>
        </w:tc>
        <w:tc>
          <w:tcPr>
            <w:tcW w:w="1907" w:type="pct"/>
            <w:tcBorders>
              <w:top w:val="single" w:color="auto" w:sz="4" w:space="0"/>
              <w:left w:val="single" w:color="auto" w:sz="4" w:space="0"/>
              <w:bottom w:val="single" w:color="auto" w:sz="4" w:space="0"/>
              <w:right w:val="single" w:color="auto" w:sz="4" w:space="0"/>
            </w:tcBorders>
            <w:shd w:val="clear" w:color="auto" w:fill="FFFFFF"/>
            <w:vAlign w:val="center"/>
          </w:tcPr>
          <w:p w14:paraId="02B12635">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备    注</w:t>
            </w:r>
          </w:p>
        </w:tc>
      </w:tr>
      <w:tr w14:paraId="1E047A3E">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0" w:type="dxa"/>
            <w:left w:w="0" w:type="dxa"/>
            <w:bottom w:w="0" w:type="dxa"/>
            <w:right w:w="0" w:type="dxa"/>
          </w:tblCellMar>
        </w:tblPrEx>
        <w:trPr>
          <w:trHeight w:val="360" w:hRule="atLeast"/>
        </w:trPr>
        <w:tc>
          <w:tcPr>
            <w:tcW w:w="518" w:type="pct"/>
            <w:tcBorders>
              <w:top w:val="single" w:color="auto" w:sz="4" w:space="0"/>
              <w:left w:val="single" w:color="auto" w:sz="4" w:space="0"/>
              <w:bottom w:val="single" w:color="auto" w:sz="4" w:space="0"/>
              <w:right w:val="single" w:color="auto" w:sz="4" w:space="0"/>
            </w:tcBorders>
            <w:shd w:val="clear" w:color="auto" w:fill="FFFFFF"/>
            <w:vAlign w:val="center"/>
          </w:tcPr>
          <w:p w14:paraId="51FC6819">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1</w:t>
            </w:r>
          </w:p>
        </w:tc>
        <w:tc>
          <w:tcPr>
            <w:tcW w:w="1582" w:type="pct"/>
            <w:tcBorders>
              <w:top w:val="single" w:color="auto" w:sz="4" w:space="0"/>
              <w:left w:val="single" w:color="auto" w:sz="4" w:space="0"/>
              <w:bottom w:val="single" w:color="auto" w:sz="4" w:space="0"/>
              <w:right w:val="single" w:color="auto" w:sz="4" w:space="0"/>
            </w:tcBorders>
            <w:shd w:val="clear" w:color="auto" w:fill="FFFFFF"/>
            <w:vAlign w:val="center"/>
          </w:tcPr>
          <w:p w14:paraId="58174804">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申请费</w:t>
            </w:r>
          </w:p>
        </w:tc>
        <w:tc>
          <w:tcPr>
            <w:tcW w:w="992" w:type="pct"/>
            <w:tcBorders>
              <w:top w:val="single" w:color="auto" w:sz="4" w:space="0"/>
              <w:left w:val="single" w:color="auto" w:sz="4" w:space="0"/>
              <w:bottom w:val="single" w:color="auto" w:sz="4" w:space="0"/>
              <w:right w:val="single" w:color="auto" w:sz="4" w:space="0"/>
            </w:tcBorders>
            <w:shd w:val="clear" w:color="auto" w:fill="FFFFFF"/>
            <w:vAlign w:val="center"/>
          </w:tcPr>
          <w:p w14:paraId="4D01EDC2">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1000元</w:t>
            </w:r>
          </w:p>
        </w:tc>
        <w:tc>
          <w:tcPr>
            <w:tcW w:w="1907" w:type="pct"/>
            <w:tcBorders>
              <w:top w:val="single" w:color="auto" w:sz="4" w:space="0"/>
              <w:left w:val="single" w:color="auto" w:sz="4" w:space="0"/>
              <w:bottom w:val="single" w:color="auto" w:sz="4" w:space="0"/>
              <w:right w:val="single" w:color="auto" w:sz="4" w:space="0"/>
            </w:tcBorders>
            <w:shd w:val="clear" w:color="auto" w:fill="FFFFFF"/>
            <w:vAlign w:val="center"/>
          </w:tcPr>
          <w:p w14:paraId="1DDFFA2E">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按项目提交申请数执行</w:t>
            </w:r>
          </w:p>
        </w:tc>
      </w:tr>
      <w:tr w14:paraId="21F6F582">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0" w:type="dxa"/>
            <w:left w:w="0" w:type="dxa"/>
            <w:bottom w:w="0" w:type="dxa"/>
            <w:right w:w="0" w:type="dxa"/>
          </w:tblCellMar>
        </w:tblPrEx>
        <w:trPr>
          <w:trHeight w:val="360" w:hRule="atLeast"/>
        </w:trPr>
        <w:tc>
          <w:tcPr>
            <w:tcW w:w="518" w:type="pct"/>
            <w:tcBorders>
              <w:top w:val="single" w:color="auto" w:sz="4" w:space="0"/>
              <w:left w:val="single" w:color="auto" w:sz="4" w:space="0"/>
              <w:bottom w:val="single" w:color="auto" w:sz="4" w:space="0"/>
              <w:right w:val="single" w:color="auto" w:sz="4" w:space="0"/>
            </w:tcBorders>
            <w:shd w:val="clear" w:color="auto" w:fill="FFFFFF"/>
            <w:vAlign w:val="center"/>
          </w:tcPr>
          <w:p w14:paraId="60620394">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2</w:t>
            </w:r>
          </w:p>
        </w:tc>
        <w:tc>
          <w:tcPr>
            <w:tcW w:w="1582" w:type="pct"/>
            <w:tcBorders>
              <w:top w:val="single" w:color="auto" w:sz="4" w:space="0"/>
              <w:left w:val="single" w:color="auto" w:sz="4" w:space="0"/>
              <w:bottom w:val="single" w:color="auto" w:sz="4" w:space="0"/>
              <w:right w:val="single" w:color="auto" w:sz="4" w:space="0"/>
            </w:tcBorders>
            <w:shd w:val="clear" w:color="auto" w:fill="FFFFFF"/>
            <w:vAlign w:val="center"/>
          </w:tcPr>
          <w:p w14:paraId="77A91F2D">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文件审查费</w:t>
            </w:r>
          </w:p>
        </w:tc>
        <w:tc>
          <w:tcPr>
            <w:tcW w:w="992" w:type="pct"/>
            <w:tcBorders>
              <w:top w:val="single" w:color="auto" w:sz="4" w:space="0"/>
              <w:left w:val="single" w:color="auto" w:sz="4" w:space="0"/>
              <w:bottom w:val="single" w:color="auto" w:sz="4" w:space="0"/>
              <w:right w:val="single" w:color="auto" w:sz="4" w:space="0"/>
            </w:tcBorders>
            <w:shd w:val="clear" w:color="auto" w:fill="FFFFFF"/>
            <w:vAlign w:val="center"/>
          </w:tcPr>
          <w:p w14:paraId="5B3CCD19">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3000元×人日数</w:t>
            </w:r>
          </w:p>
        </w:tc>
        <w:tc>
          <w:tcPr>
            <w:tcW w:w="1907" w:type="pct"/>
            <w:tcBorders>
              <w:top w:val="single" w:color="auto" w:sz="4" w:space="0"/>
              <w:left w:val="single" w:color="auto" w:sz="4" w:space="0"/>
              <w:bottom w:val="single" w:color="auto" w:sz="4" w:space="0"/>
              <w:right w:val="single" w:color="auto" w:sz="4" w:space="0"/>
            </w:tcBorders>
            <w:shd w:val="clear" w:color="auto" w:fill="FFFFFF"/>
            <w:vAlign w:val="center"/>
          </w:tcPr>
          <w:p w14:paraId="2B21E1DD">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按规定的审查人日数执行</w:t>
            </w:r>
          </w:p>
        </w:tc>
      </w:tr>
      <w:tr w14:paraId="1067CA5C">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0" w:type="dxa"/>
            <w:bottom w:w="0" w:type="dxa"/>
            <w:right w:w="0" w:type="dxa"/>
          </w:tblCellMar>
        </w:tblPrEx>
        <w:trPr>
          <w:trHeight w:val="360" w:hRule="atLeast"/>
        </w:trPr>
        <w:tc>
          <w:tcPr>
            <w:tcW w:w="518" w:type="pct"/>
            <w:tcBorders>
              <w:top w:val="single" w:color="auto" w:sz="4" w:space="0"/>
              <w:left w:val="single" w:color="auto" w:sz="4" w:space="0"/>
              <w:bottom w:val="single" w:color="auto" w:sz="4" w:space="0"/>
              <w:right w:val="single" w:color="auto" w:sz="4" w:space="0"/>
            </w:tcBorders>
            <w:shd w:val="clear" w:color="auto" w:fill="FFFFFF"/>
            <w:vAlign w:val="center"/>
          </w:tcPr>
          <w:p w14:paraId="29209C07">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3</w:t>
            </w:r>
          </w:p>
        </w:tc>
        <w:tc>
          <w:tcPr>
            <w:tcW w:w="1582" w:type="pct"/>
            <w:tcBorders>
              <w:top w:val="single" w:color="auto" w:sz="4" w:space="0"/>
              <w:left w:val="single" w:color="auto" w:sz="4" w:space="0"/>
              <w:bottom w:val="single" w:color="auto" w:sz="4" w:space="0"/>
              <w:right w:val="single" w:color="auto" w:sz="4" w:space="0"/>
            </w:tcBorders>
            <w:shd w:val="clear" w:color="auto" w:fill="FFFFFF"/>
            <w:vAlign w:val="center"/>
          </w:tcPr>
          <w:p w14:paraId="69D5D3B7">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预审费</w:t>
            </w:r>
          </w:p>
        </w:tc>
        <w:tc>
          <w:tcPr>
            <w:tcW w:w="992" w:type="pct"/>
            <w:tcBorders>
              <w:top w:val="single" w:color="auto" w:sz="4" w:space="0"/>
              <w:left w:val="single" w:color="auto" w:sz="4" w:space="0"/>
              <w:bottom w:val="single" w:color="auto" w:sz="4" w:space="0"/>
              <w:right w:val="single" w:color="auto" w:sz="4" w:space="0"/>
            </w:tcBorders>
            <w:shd w:val="clear" w:color="auto" w:fill="FFFFFF"/>
            <w:vAlign w:val="center"/>
          </w:tcPr>
          <w:p w14:paraId="2F426EEE">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2000元×人日数</w:t>
            </w:r>
          </w:p>
        </w:tc>
        <w:tc>
          <w:tcPr>
            <w:tcW w:w="1907" w:type="pct"/>
            <w:tcBorders>
              <w:top w:val="single" w:color="auto" w:sz="4" w:space="0"/>
              <w:left w:val="single" w:color="auto" w:sz="4" w:space="0"/>
              <w:bottom w:val="single" w:color="auto" w:sz="4" w:space="0"/>
              <w:right w:val="single" w:color="auto" w:sz="4" w:space="0"/>
            </w:tcBorders>
            <w:shd w:val="clear" w:color="auto" w:fill="FFFFFF"/>
            <w:vAlign w:val="center"/>
          </w:tcPr>
          <w:p w14:paraId="2A4C4036">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按规定的审核人日数执行</w:t>
            </w:r>
          </w:p>
        </w:tc>
      </w:tr>
      <w:tr w14:paraId="49F0F66B">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0" w:type="dxa"/>
            <w:left w:w="0" w:type="dxa"/>
            <w:bottom w:w="0" w:type="dxa"/>
            <w:right w:w="0" w:type="dxa"/>
          </w:tblCellMar>
        </w:tblPrEx>
        <w:trPr>
          <w:trHeight w:val="360" w:hRule="atLeast"/>
        </w:trPr>
        <w:tc>
          <w:tcPr>
            <w:tcW w:w="518" w:type="pct"/>
            <w:tcBorders>
              <w:top w:val="single" w:color="auto" w:sz="4" w:space="0"/>
              <w:left w:val="single" w:color="auto" w:sz="4" w:space="0"/>
              <w:bottom w:val="single" w:color="auto" w:sz="4" w:space="0"/>
              <w:right w:val="single" w:color="auto" w:sz="4" w:space="0"/>
            </w:tcBorders>
            <w:shd w:val="clear" w:color="auto" w:fill="FFFFFF"/>
            <w:vAlign w:val="center"/>
          </w:tcPr>
          <w:p w14:paraId="7B3C0739">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4</w:t>
            </w:r>
          </w:p>
        </w:tc>
        <w:tc>
          <w:tcPr>
            <w:tcW w:w="1582" w:type="pct"/>
            <w:tcBorders>
              <w:top w:val="single" w:color="auto" w:sz="4" w:space="0"/>
              <w:left w:val="single" w:color="auto" w:sz="4" w:space="0"/>
              <w:bottom w:val="single" w:color="auto" w:sz="4" w:space="0"/>
              <w:right w:val="single" w:color="auto" w:sz="4" w:space="0"/>
            </w:tcBorders>
            <w:shd w:val="clear" w:color="auto" w:fill="FFFFFF"/>
            <w:vAlign w:val="center"/>
          </w:tcPr>
          <w:p w14:paraId="40EF2741">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审核费</w:t>
            </w:r>
          </w:p>
        </w:tc>
        <w:tc>
          <w:tcPr>
            <w:tcW w:w="992" w:type="pct"/>
            <w:tcBorders>
              <w:top w:val="single" w:color="auto" w:sz="4" w:space="0"/>
              <w:left w:val="single" w:color="auto" w:sz="4" w:space="0"/>
              <w:bottom w:val="single" w:color="auto" w:sz="4" w:space="0"/>
              <w:right w:val="single" w:color="auto" w:sz="4" w:space="0"/>
            </w:tcBorders>
            <w:shd w:val="clear" w:color="auto" w:fill="FFFFFF"/>
            <w:vAlign w:val="center"/>
          </w:tcPr>
          <w:p w14:paraId="31EE6B8A">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3000元×人日数</w:t>
            </w:r>
          </w:p>
        </w:tc>
        <w:tc>
          <w:tcPr>
            <w:tcW w:w="1907" w:type="pct"/>
            <w:tcBorders>
              <w:top w:val="single" w:color="auto" w:sz="4" w:space="0"/>
              <w:left w:val="single" w:color="auto" w:sz="4" w:space="0"/>
              <w:bottom w:val="single" w:color="auto" w:sz="4" w:space="0"/>
              <w:right w:val="single" w:color="auto" w:sz="4" w:space="0"/>
            </w:tcBorders>
            <w:shd w:val="clear" w:color="auto" w:fill="FFFFFF"/>
            <w:vAlign w:val="center"/>
          </w:tcPr>
          <w:p w14:paraId="34823380">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按规定的审核人日数执行</w:t>
            </w:r>
          </w:p>
        </w:tc>
      </w:tr>
      <w:tr w14:paraId="022A8187">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0" w:type="dxa"/>
            <w:left w:w="0" w:type="dxa"/>
            <w:bottom w:w="0" w:type="dxa"/>
            <w:right w:w="0" w:type="dxa"/>
          </w:tblCellMar>
        </w:tblPrEx>
        <w:trPr>
          <w:trHeight w:val="360" w:hRule="atLeast"/>
        </w:trPr>
        <w:tc>
          <w:tcPr>
            <w:tcW w:w="518" w:type="pct"/>
            <w:tcBorders>
              <w:top w:val="single" w:color="auto" w:sz="4" w:space="0"/>
              <w:left w:val="single" w:color="auto" w:sz="4" w:space="0"/>
              <w:bottom w:val="single" w:color="auto" w:sz="4" w:space="0"/>
              <w:right w:val="single" w:color="auto" w:sz="4" w:space="0"/>
            </w:tcBorders>
            <w:shd w:val="clear" w:color="auto" w:fill="FFFFFF"/>
            <w:vAlign w:val="center"/>
          </w:tcPr>
          <w:p w14:paraId="10CEA279">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5</w:t>
            </w:r>
          </w:p>
        </w:tc>
        <w:tc>
          <w:tcPr>
            <w:tcW w:w="1582" w:type="pct"/>
            <w:tcBorders>
              <w:top w:val="single" w:color="auto" w:sz="4" w:space="0"/>
              <w:left w:val="single" w:color="auto" w:sz="4" w:space="0"/>
              <w:bottom w:val="single" w:color="auto" w:sz="4" w:space="0"/>
              <w:right w:val="single" w:color="auto" w:sz="4" w:space="0"/>
            </w:tcBorders>
            <w:shd w:val="clear" w:color="auto" w:fill="FFFFFF"/>
            <w:vAlign w:val="center"/>
          </w:tcPr>
          <w:p w14:paraId="6F001302">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审定与注册费（含证书费）</w:t>
            </w:r>
          </w:p>
        </w:tc>
        <w:tc>
          <w:tcPr>
            <w:tcW w:w="992" w:type="pct"/>
            <w:tcBorders>
              <w:top w:val="single" w:color="auto" w:sz="4" w:space="0"/>
              <w:left w:val="single" w:color="auto" w:sz="4" w:space="0"/>
              <w:bottom w:val="single" w:color="auto" w:sz="4" w:space="0"/>
              <w:right w:val="single" w:color="auto" w:sz="4" w:space="0"/>
            </w:tcBorders>
            <w:shd w:val="clear" w:color="auto" w:fill="FFFFFF"/>
            <w:vAlign w:val="center"/>
          </w:tcPr>
          <w:p w14:paraId="50F720A6">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2000元</w:t>
            </w:r>
          </w:p>
        </w:tc>
        <w:tc>
          <w:tcPr>
            <w:tcW w:w="1907" w:type="pct"/>
            <w:tcBorders>
              <w:top w:val="single" w:color="auto" w:sz="4" w:space="0"/>
              <w:left w:val="single" w:color="auto" w:sz="4" w:space="0"/>
              <w:bottom w:val="single" w:color="auto" w:sz="4" w:space="0"/>
              <w:right w:val="single" w:color="auto" w:sz="4" w:space="0"/>
            </w:tcBorders>
            <w:shd w:val="clear" w:color="auto" w:fill="FFFFFF"/>
            <w:vAlign w:val="center"/>
          </w:tcPr>
          <w:p w14:paraId="09DFD8B7">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如需加印证书，每证另收费100元</w:t>
            </w:r>
          </w:p>
        </w:tc>
      </w:tr>
      <w:tr w14:paraId="3E4D902B">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0" w:type="dxa"/>
            <w:left w:w="0" w:type="dxa"/>
            <w:bottom w:w="0" w:type="dxa"/>
            <w:right w:w="0" w:type="dxa"/>
          </w:tblCellMar>
        </w:tblPrEx>
        <w:trPr>
          <w:trHeight w:val="360" w:hRule="atLeast"/>
        </w:trPr>
        <w:tc>
          <w:tcPr>
            <w:tcW w:w="518" w:type="pct"/>
            <w:tcBorders>
              <w:top w:val="single" w:color="auto" w:sz="4" w:space="0"/>
              <w:left w:val="single" w:color="auto" w:sz="4" w:space="0"/>
              <w:bottom w:val="single" w:color="auto" w:sz="4" w:space="0"/>
              <w:right w:val="single" w:color="auto" w:sz="4" w:space="0"/>
            </w:tcBorders>
            <w:shd w:val="clear" w:color="auto" w:fill="FFFFFF"/>
            <w:vAlign w:val="center"/>
          </w:tcPr>
          <w:p w14:paraId="36375A48">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6</w:t>
            </w:r>
          </w:p>
        </w:tc>
        <w:tc>
          <w:tcPr>
            <w:tcW w:w="1582" w:type="pct"/>
            <w:tcBorders>
              <w:top w:val="single" w:color="auto" w:sz="4" w:space="0"/>
              <w:left w:val="single" w:color="auto" w:sz="4" w:space="0"/>
              <w:bottom w:val="single" w:color="auto" w:sz="4" w:space="0"/>
              <w:right w:val="single" w:color="auto" w:sz="4" w:space="0"/>
            </w:tcBorders>
            <w:shd w:val="clear" w:color="auto" w:fill="FFFFFF"/>
            <w:vAlign w:val="center"/>
          </w:tcPr>
          <w:p w14:paraId="4ABAAAF2">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监督审核费</w:t>
            </w:r>
          </w:p>
        </w:tc>
        <w:tc>
          <w:tcPr>
            <w:tcW w:w="992" w:type="pct"/>
            <w:tcBorders>
              <w:top w:val="single" w:color="auto" w:sz="4" w:space="0"/>
              <w:left w:val="single" w:color="auto" w:sz="4" w:space="0"/>
              <w:bottom w:val="single" w:color="auto" w:sz="4" w:space="0"/>
              <w:right w:val="single" w:color="auto" w:sz="4" w:space="0"/>
            </w:tcBorders>
            <w:shd w:val="clear" w:color="auto" w:fill="FFFFFF"/>
            <w:vAlign w:val="center"/>
          </w:tcPr>
          <w:p w14:paraId="3C8E5E10">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3000元×人日数</w:t>
            </w:r>
          </w:p>
        </w:tc>
        <w:tc>
          <w:tcPr>
            <w:tcW w:w="1907" w:type="pct"/>
            <w:tcBorders>
              <w:top w:val="single" w:color="auto" w:sz="4" w:space="0"/>
              <w:left w:val="single" w:color="auto" w:sz="4" w:space="0"/>
              <w:bottom w:val="single" w:color="auto" w:sz="4" w:space="0"/>
              <w:right w:val="single" w:color="auto" w:sz="4" w:space="0"/>
            </w:tcBorders>
            <w:shd w:val="clear" w:color="auto" w:fill="FFFFFF"/>
            <w:vAlign w:val="center"/>
          </w:tcPr>
          <w:p w14:paraId="2E4C0BF9">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按规定的监督审核人日数执行</w:t>
            </w:r>
          </w:p>
        </w:tc>
      </w:tr>
      <w:tr w14:paraId="2CA12761">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0" w:type="dxa"/>
            <w:left w:w="0" w:type="dxa"/>
            <w:bottom w:w="0" w:type="dxa"/>
            <w:right w:w="0" w:type="dxa"/>
          </w:tblCellMar>
        </w:tblPrEx>
        <w:trPr>
          <w:trHeight w:val="360" w:hRule="atLeast"/>
        </w:trPr>
        <w:tc>
          <w:tcPr>
            <w:tcW w:w="518" w:type="pct"/>
            <w:tcBorders>
              <w:top w:val="single" w:color="auto" w:sz="4" w:space="0"/>
              <w:left w:val="single" w:color="auto" w:sz="4" w:space="0"/>
              <w:bottom w:val="single" w:color="auto" w:sz="4" w:space="0"/>
              <w:right w:val="single" w:color="auto" w:sz="4" w:space="0"/>
            </w:tcBorders>
            <w:shd w:val="clear" w:color="auto" w:fill="FFFFFF"/>
            <w:vAlign w:val="center"/>
          </w:tcPr>
          <w:p w14:paraId="61C2C4FB">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7</w:t>
            </w:r>
          </w:p>
        </w:tc>
        <w:tc>
          <w:tcPr>
            <w:tcW w:w="1582" w:type="pct"/>
            <w:tcBorders>
              <w:top w:val="single" w:color="auto" w:sz="4" w:space="0"/>
              <w:left w:val="single" w:color="auto" w:sz="4" w:space="0"/>
              <w:bottom w:val="single" w:color="auto" w:sz="4" w:space="0"/>
              <w:right w:val="single" w:color="auto" w:sz="4" w:space="0"/>
            </w:tcBorders>
            <w:shd w:val="clear" w:color="auto" w:fill="FFFFFF"/>
            <w:vAlign w:val="center"/>
          </w:tcPr>
          <w:p w14:paraId="018C9BBB">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年金（含标志使用费）</w:t>
            </w:r>
          </w:p>
        </w:tc>
        <w:tc>
          <w:tcPr>
            <w:tcW w:w="992" w:type="pct"/>
            <w:tcBorders>
              <w:top w:val="single" w:color="auto" w:sz="4" w:space="0"/>
              <w:left w:val="single" w:color="auto" w:sz="4" w:space="0"/>
              <w:bottom w:val="single" w:color="auto" w:sz="4" w:space="0"/>
              <w:right w:val="single" w:color="auto" w:sz="4" w:space="0"/>
            </w:tcBorders>
            <w:shd w:val="clear" w:color="auto" w:fill="FFFFFF"/>
            <w:vAlign w:val="center"/>
          </w:tcPr>
          <w:p w14:paraId="64269B3A">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2000元</w:t>
            </w:r>
          </w:p>
        </w:tc>
        <w:tc>
          <w:tcPr>
            <w:tcW w:w="1907" w:type="pct"/>
            <w:tcBorders>
              <w:top w:val="single" w:color="auto" w:sz="4" w:space="0"/>
              <w:left w:val="single" w:color="auto" w:sz="4" w:space="0"/>
              <w:bottom w:val="single" w:color="auto" w:sz="4" w:space="0"/>
              <w:right w:val="single" w:color="auto" w:sz="4" w:space="0"/>
            </w:tcBorders>
            <w:shd w:val="clear" w:color="auto" w:fill="FFFFFF"/>
            <w:vAlign w:val="center"/>
          </w:tcPr>
          <w:p w14:paraId="3972A83D">
            <w:pPr>
              <w:keepNext w:val="0"/>
              <w:keepLines w:val="0"/>
              <w:pageBreakBefore w:val="0"/>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每年交纳一次</w:t>
            </w:r>
          </w:p>
        </w:tc>
      </w:tr>
    </w:tbl>
    <w:p w14:paraId="596188DE">
      <w:pPr>
        <w:pageBreakBefore w:val="0"/>
        <w:shd w:val="clear"/>
        <w:kinsoku/>
        <w:overflowPunct/>
        <w:topLinePunct w:val="0"/>
        <w:autoSpaceDE/>
        <w:autoSpaceDN/>
        <w:bidi w:val="0"/>
        <w:spacing w:line="360" w:lineRule="auto"/>
        <w:ind w:firstLine="420"/>
        <w:outlineLvl w:val="9"/>
        <w:rPr>
          <w:rFonts w:hint="eastAsia" w:ascii="宋体" w:hAnsi="宋体" w:eastAsia="宋体" w:cs="宋体"/>
          <w:bCs/>
          <w:color w:val="auto"/>
          <w:sz w:val="21"/>
          <w:szCs w:val="21"/>
          <w:highlight w:val="none"/>
        </w:rPr>
      </w:pPr>
    </w:p>
    <w:p w14:paraId="4ACB5DD7">
      <w:pPr>
        <w:keepNext w:val="0"/>
        <w:keepLines w:val="0"/>
        <w:pageBreakBefore w:val="0"/>
        <w:widowControl/>
        <w:kinsoku/>
        <w:wordWrap/>
        <w:overflowPunct/>
        <w:topLinePunct w:val="0"/>
        <w:autoSpaceDE/>
        <w:autoSpaceDN/>
        <w:bidi w:val="0"/>
        <w:adjustRightInd/>
        <w:snapToGrid/>
        <w:spacing w:before="0" w:after="0" w:line="360" w:lineRule="auto"/>
        <w:ind w:left="0" w:right="0" w:firstLine="416" w:firstLineChars="200"/>
        <w:jc w:val="left"/>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注：各种费用的具体金额和付费时间以《认证合同书》为准。</w:t>
      </w:r>
    </w:p>
    <w:p w14:paraId="74FC51DC">
      <w:pP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br w:type="page"/>
      </w:r>
    </w:p>
    <w:p w14:paraId="0B633F3A">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outlineLvl w:val="0"/>
        <w:rPr>
          <w:rFonts w:hint="default" w:ascii="Times New Roman" w:hAnsi="Times New Roman" w:eastAsia="宋体" w:cs="Times New Roman"/>
          <w:b/>
          <w:color w:val="auto"/>
          <w:spacing w:val="32"/>
          <w:sz w:val="32"/>
          <w:szCs w:val="32"/>
          <w:highlight w:val="none"/>
          <w:lang w:val="en-US" w:eastAsia="zh-CN"/>
        </w:rPr>
      </w:pPr>
      <w:bookmarkStart w:id="7" w:name="_Toc28156"/>
      <w:r>
        <w:rPr>
          <w:rFonts w:hint="eastAsia" w:ascii="Times New Roman" w:hAnsi="Times New Roman" w:eastAsia="宋体" w:cs="Times New Roman"/>
          <w:b/>
          <w:color w:val="auto"/>
          <w:spacing w:val="32"/>
          <w:sz w:val="32"/>
          <w:szCs w:val="32"/>
          <w:highlight w:val="none"/>
          <w:lang w:val="en-US" w:eastAsia="zh-CN"/>
        </w:rPr>
        <w:t>六、拟获证组织须知</w:t>
      </w:r>
      <w:bookmarkEnd w:id="7"/>
    </w:p>
    <w:p w14:paraId="51A4D301">
      <w:pPr>
        <w:keepNext w:val="0"/>
        <w:keepLines w:val="0"/>
        <w:pageBreakBefore w:val="0"/>
        <w:widowControl w:val="0"/>
        <w:kinsoku/>
        <w:wordWrap/>
        <w:overflowPunct/>
        <w:topLinePunct w:val="0"/>
        <w:autoSpaceDE w:val="0"/>
        <w:autoSpaceDN w:val="0"/>
        <w:bidi w:val="0"/>
        <w:adjustRightInd/>
        <w:snapToGrid/>
        <w:spacing w:before="21" w:line="360" w:lineRule="auto"/>
        <w:ind w:left="527" w:right="0" w:firstLine="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一、关于证书有效期</w:t>
      </w:r>
    </w:p>
    <w:p w14:paraId="74F4A49D">
      <w:pPr>
        <w:pStyle w:val="16"/>
        <w:keepNext w:val="0"/>
        <w:keepLines w:val="0"/>
        <w:pageBreakBefore w:val="0"/>
        <w:widowControl w:val="0"/>
        <w:kinsoku/>
        <w:wordWrap/>
        <w:overflowPunct/>
        <w:topLinePunct w:val="0"/>
        <w:autoSpaceDE w:val="0"/>
        <w:autoSpaceDN w:val="0"/>
        <w:bidi w:val="0"/>
        <w:adjustRightInd/>
        <w:snapToGrid/>
        <w:spacing w:line="360" w:lineRule="auto"/>
        <w:ind w:left="108" w:right="249" w:firstLine="437"/>
        <w:jc w:val="both"/>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根据《管理体系认证实施规则》、《合格评定 管理体系审核与认证机构要求》《管理体系认证机构要求》等有关认证认可的规定，对于经过</w:t>
      </w:r>
      <w:r>
        <w:rPr>
          <w:rFonts w:hint="eastAsia" w:ascii="宋体" w:hAnsi="宋体" w:eastAsia="宋体" w:cs="宋体"/>
          <w:color w:val="auto"/>
          <w:spacing w:val="-1"/>
          <w:sz w:val="21"/>
          <w:szCs w:val="21"/>
          <w:highlight w:val="none"/>
          <w:lang w:eastAsia="zh-CN"/>
        </w:rPr>
        <w:t>春晖国际认证有限公司</w:t>
      </w:r>
      <w:r>
        <w:rPr>
          <w:rFonts w:hint="eastAsia" w:ascii="宋体" w:hAnsi="宋体" w:eastAsia="宋体" w:cs="宋体"/>
          <w:color w:val="auto"/>
          <w:spacing w:val="-1"/>
          <w:sz w:val="21"/>
          <w:szCs w:val="21"/>
          <w:highlight w:val="none"/>
        </w:rPr>
        <w:t>初次认证合格的组织，</w:t>
      </w:r>
      <w:r>
        <w:rPr>
          <w:rFonts w:hint="eastAsia" w:ascii="宋体" w:hAnsi="宋体" w:eastAsia="宋体" w:cs="宋体"/>
          <w:color w:val="auto"/>
          <w:spacing w:val="-1"/>
          <w:sz w:val="21"/>
          <w:szCs w:val="21"/>
          <w:highlight w:val="none"/>
          <w:lang w:eastAsia="zh-CN"/>
        </w:rPr>
        <w:t>春晖国际认证</w:t>
      </w:r>
      <w:r>
        <w:rPr>
          <w:rFonts w:hint="eastAsia" w:ascii="宋体" w:hAnsi="宋体" w:eastAsia="宋体" w:cs="宋体"/>
          <w:color w:val="auto"/>
          <w:spacing w:val="-1"/>
          <w:sz w:val="21"/>
          <w:szCs w:val="21"/>
          <w:highlight w:val="none"/>
        </w:rPr>
        <w:t>授予有效期为三年的认证证书（特殊情况下，视认证风险情况可能会发放有效期限较短的证书），该组织称呼为获证组织。</w:t>
      </w:r>
    </w:p>
    <w:p w14:paraId="39E9D53A">
      <w:pPr>
        <w:pStyle w:val="16"/>
        <w:keepNext w:val="0"/>
        <w:keepLines w:val="0"/>
        <w:pageBreakBefore w:val="0"/>
        <w:widowControl w:val="0"/>
        <w:kinsoku/>
        <w:wordWrap/>
        <w:overflowPunct/>
        <w:topLinePunct w:val="0"/>
        <w:autoSpaceDE w:val="0"/>
        <w:autoSpaceDN w:val="0"/>
        <w:bidi w:val="0"/>
        <w:adjustRightInd/>
        <w:snapToGrid/>
        <w:spacing w:line="360" w:lineRule="auto"/>
        <w:ind w:left="108" w:right="249" w:firstLine="437"/>
        <w:jc w:val="both"/>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获证组织应按本须知“三．监督审核、见证评审和稽查审核的要求”的规定接受证后监督，以保持认证的有效性。证书到期，经</w:t>
      </w:r>
      <w:r>
        <w:rPr>
          <w:rFonts w:hint="eastAsia" w:ascii="宋体" w:hAnsi="宋体" w:eastAsia="宋体" w:cs="宋体"/>
          <w:color w:val="auto"/>
          <w:spacing w:val="-1"/>
          <w:sz w:val="21"/>
          <w:szCs w:val="21"/>
          <w:highlight w:val="none"/>
          <w:lang w:eastAsia="zh-CN"/>
        </w:rPr>
        <w:t>春晖国际认证</w:t>
      </w:r>
      <w:r>
        <w:rPr>
          <w:rFonts w:hint="eastAsia" w:ascii="宋体" w:hAnsi="宋体" w:eastAsia="宋体" w:cs="宋体"/>
          <w:color w:val="auto"/>
          <w:spacing w:val="-1"/>
          <w:sz w:val="21"/>
          <w:szCs w:val="21"/>
          <w:highlight w:val="none"/>
        </w:rPr>
        <w:t>再认证确认管理体系持续符合认证要求的组织，</w:t>
      </w:r>
      <w:r>
        <w:rPr>
          <w:rFonts w:hint="eastAsia" w:ascii="宋体" w:hAnsi="宋体" w:eastAsia="宋体" w:cs="宋体"/>
          <w:color w:val="auto"/>
          <w:spacing w:val="-1"/>
          <w:sz w:val="21"/>
          <w:szCs w:val="21"/>
          <w:highlight w:val="none"/>
          <w:lang w:eastAsia="zh-CN"/>
        </w:rPr>
        <w:t>春晖国际认证</w:t>
      </w:r>
      <w:r>
        <w:rPr>
          <w:rFonts w:hint="eastAsia" w:ascii="宋体" w:hAnsi="宋体" w:eastAsia="宋体" w:cs="宋体"/>
          <w:color w:val="auto"/>
          <w:spacing w:val="-1"/>
          <w:sz w:val="21"/>
          <w:szCs w:val="21"/>
          <w:highlight w:val="none"/>
        </w:rPr>
        <w:t>授予不超过上一认证周期认证周期认证证书的终止日期再加三年的认证证书。</w:t>
      </w:r>
    </w:p>
    <w:p w14:paraId="0F17FCC5">
      <w:pPr>
        <w:pStyle w:val="16"/>
        <w:keepNext w:val="0"/>
        <w:keepLines w:val="0"/>
        <w:pageBreakBefore w:val="0"/>
        <w:widowControl w:val="0"/>
        <w:kinsoku/>
        <w:wordWrap/>
        <w:overflowPunct/>
        <w:topLinePunct w:val="0"/>
        <w:autoSpaceDE w:val="0"/>
        <w:autoSpaceDN w:val="0"/>
        <w:bidi w:val="0"/>
        <w:adjustRightInd/>
        <w:snapToGrid/>
        <w:spacing w:line="360" w:lineRule="auto"/>
        <w:ind w:left="108" w:right="249" w:firstLine="437"/>
        <w:jc w:val="both"/>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经</w:t>
      </w:r>
      <w:r>
        <w:rPr>
          <w:rFonts w:hint="eastAsia" w:ascii="宋体" w:hAnsi="宋体" w:eastAsia="宋体" w:cs="宋体"/>
          <w:color w:val="auto"/>
          <w:spacing w:val="-1"/>
          <w:sz w:val="21"/>
          <w:szCs w:val="21"/>
          <w:highlight w:val="none"/>
          <w:lang w:eastAsia="zh-CN"/>
        </w:rPr>
        <w:t>春晖国际认证</w:t>
      </w:r>
      <w:r>
        <w:rPr>
          <w:rFonts w:hint="eastAsia" w:ascii="宋体" w:hAnsi="宋体" w:eastAsia="宋体" w:cs="宋体"/>
          <w:color w:val="auto"/>
          <w:spacing w:val="-1"/>
          <w:sz w:val="21"/>
          <w:szCs w:val="21"/>
          <w:highlight w:val="none"/>
        </w:rPr>
        <w:t>转换认证机构所颁发的认证证书，</w:t>
      </w:r>
      <w:r>
        <w:rPr>
          <w:rFonts w:hint="eastAsia" w:ascii="宋体" w:hAnsi="宋体" w:eastAsia="宋体" w:cs="宋体"/>
          <w:color w:val="auto"/>
          <w:spacing w:val="-1"/>
          <w:sz w:val="21"/>
          <w:szCs w:val="21"/>
          <w:highlight w:val="none"/>
          <w:lang w:eastAsia="zh-CN"/>
        </w:rPr>
        <w:t>春晖国际认证</w:t>
      </w:r>
      <w:r>
        <w:rPr>
          <w:rFonts w:hint="eastAsia" w:ascii="宋体" w:hAnsi="宋体" w:eastAsia="宋体" w:cs="宋体"/>
          <w:color w:val="auto"/>
          <w:spacing w:val="-1"/>
          <w:sz w:val="21"/>
          <w:szCs w:val="21"/>
          <w:highlight w:val="none"/>
        </w:rPr>
        <w:t>授予有效期自认证决定日期至原颁证机构所颁发证书有效期截止日的认证证书。</w:t>
      </w:r>
    </w:p>
    <w:p w14:paraId="52C99157">
      <w:pPr>
        <w:spacing w:before="0"/>
        <w:ind w:left="527" w:right="0" w:firstLine="0"/>
        <w:jc w:val="left"/>
        <w:rPr>
          <w:rFonts w:hint="eastAsia" w:ascii="宋体" w:hAnsi="宋体" w:eastAsia="宋体" w:cs="宋体"/>
          <w:b/>
          <w:color w:val="auto"/>
          <w:sz w:val="21"/>
          <w:szCs w:val="21"/>
          <w:highlight w:val="none"/>
        </w:rPr>
      </w:pPr>
      <w:bookmarkStart w:id="8" w:name="_bookmark2"/>
      <w:bookmarkEnd w:id="8"/>
      <w:bookmarkStart w:id="9" w:name="二、证书编号说明"/>
      <w:bookmarkEnd w:id="9"/>
      <w:r>
        <w:rPr>
          <w:rFonts w:hint="eastAsia" w:ascii="宋体" w:hAnsi="宋体" w:eastAsia="宋体" w:cs="宋体"/>
          <w:b/>
          <w:color w:val="auto"/>
          <w:sz w:val="21"/>
          <w:szCs w:val="21"/>
          <w:highlight w:val="none"/>
        </w:rPr>
        <w:t>二、证书编号说明</w:t>
      </w:r>
    </w:p>
    <w:p w14:paraId="6996AEE0">
      <w:pPr>
        <w:pStyle w:val="81"/>
        <w:keepNext w:val="0"/>
        <w:keepLines w:val="0"/>
        <w:pageBreakBefore w:val="0"/>
        <w:widowControl w:val="0"/>
        <w:numPr>
          <w:ilvl w:val="1"/>
          <w:numId w:val="3"/>
        </w:numPr>
        <w:tabs>
          <w:tab w:val="left" w:pos="928"/>
        </w:tabs>
        <w:kinsoku/>
        <w:wordWrap/>
        <w:overflowPunct/>
        <w:topLinePunct w:val="0"/>
        <w:autoSpaceDE w:val="0"/>
        <w:autoSpaceDN w:val="0"/>
        <w:bidi w:val="0"/>
        <w:adjustRightInd/>
        <w:snapToGrid/>
        <w:spacing w:before="153" w:after="0" w:line="360" w:lineRule="auto"/>
        <w:ind w:left="928" w:right="0" w:hanging="401"/>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质量管理体系，环境管理体系，职业健康安全管理体系认证证书编号规则：</w:t>
      </w:r>
    </w:p>
    <w:tbl>
      <w:tblPr>
        <w:tblStyle w:val="36"/>
        <w:tblpPr w:leftFromText="180" w:rightFromText="180" w:vertAnchor="page" w:horzAnchor="page" w:tblpX="1350" w:tblpY="5191"/>
        <w:tblW w:w="472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2"/>
        <w:gridCol w:w="765"/>
        <w:gridCol w:w="1126"/>
        <w:gridCol w:w="1230"/>
        <w:gridCol w:w="1598"/>
        <w:gridCol w:w="1375"/>
        <w:gridCol w:w="1496"/>
      </w:tblGrid>
      <w:tr w14:paraId="5A93C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pct"/>
            <w:noWrap w:val="0"/>
            <w:vAlign w:val="center"/>
          </w:tcPr>
          <w:p w14:paraId="5A0348D8">
            <w:pPr>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eastAsia" w:ascii="宋体" w:hAnsi="宋体" w:eastAsia="宋体" w:cs="宋体"/>
                <w:color w:val="auto"/>
                <w:spacing w:val="-26"/>
                <w:w w:val="90"/>
                <w:position w:val="-6"/>
                <w:sz w:val="21"/>
                <w:szCs w:val="21"/>
                <w:highlight w:val="none"/>
              </w:rPr>
            </w:pPr>
            <w:r>
              <w:rPr>
                <w:rFonts w:hint="eastAsia" w:ascii="宋体" w:hAnsi="宋体" w:eastAsia="宋体" w:cs="宋体"/>
                <w:color w:val="auto"/>
                <w:spacing w:val="-26"/>
                <w:w w:val="90"/>
                <w:position w:val="-6"/>
                <w:sz w:val="21"/>
                <w:szCs w:val="21"/>
                <w:highlight w:val="none"/>
              </w:rPr>
              <w:t>×××</w:t>
            </w:r>
          </w:p>
        </w:tc>
        <w:tc>
          <w:tcPr>
            <w:tcW w:w="412" w:type="pct"/>
            <w:noWrap w:val="0"/>
            <w:vAlign w:val="center"/>
          </w:tcPr>
          <w:p w14:paraId="3A2F563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auto"/>
                <w:spacing w:val="-26"/>
                <w:w w:val="90"/>
                <w:position w:val="-6"/>
                <w:sz w:val="21"/>
                <w:szCs w:val="21"/>
                <w:highlight w:val="none"/>
              </w:rPr>
            </w:pPr>
            <w:r>
              <w:rPr>
                <w:rFonts w:hint="eastAsia" w:ascii="宋体" w:hAnsi="宋体" w:eastAsia="宋体" w:cs="宋体"/>
                <w:color w:val="auto"/>
                <w:spacing w:val="-26"/>
                <w:w w:val="90"/>
                <w:position w:val="-6"/>
                <w:sz w:val="21"/>
                <w:szCs w:val="21"/>
                <w:highlight w:val="none"/>
              </w:rPr>
              <w:t>××</w:t>
            </w:r>
          </w:p>
        </w:tc>
        <w:tc>
          <w:tcPr>
            <w:tcW w:w="606" w:type="pct"/>
            <w:noWrap w:val="0"/>
            <w:vAlign w:val="center"/>
          </w:tcPr>
          <w:p w14:paraId="6B1B519B">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auto"/>
                <w:spacing w:val="-26"/>
                <w:w w:val="90"/>
                <w:position w:val="-6"/>
                <w:sz w:val="21"/>
                <w:szCs w:val="21"/>
                <w:highlight w:val="none"/>
              </w:rPr>
            </w:pPr>
            <w:r>
              <w:rPr>
                <w:rFonts w:hint="eastAsia" w:ascii="宋体" w:hAnsi="宋体" w:eastAsia="宋体" w:cs="宋体"/>
                <w:color w:val="auto"/>
                <w:spacing w:val="-26"/>
                <w:w w:val="90"/>
                <w:position w:val="-6"/>
                <w:sz w:val="21"/>
                <w:szCs w:val="21"/>
                <w:highlight w:val="none"/>
              </w:rPr>
              <w:t>Q（E、S）</w:t>
            </w:r>
          </w:p>
        </w:tc>
        <w:tc>
          <w:tcPr>
            <w:tcW w:w="662" w:type="pct"/>
            <w:noWrap w:val="0"/>
            <w:vAlign w:val="center"/>
          </w:tcPr>
          <w:p w14:paraId="2E26AE0D">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auto"/>
                <w:spacing w:val="-26"/>
                <w:w w:val="90"/>
                <w:position w:val="-6"/>
                <w:sz w:val="21"/>
                <w:szCs w:val="21"/>
                <w:highlight w:val="none"/>
              </w:rPr>
            </w:pPr>
            <w:r>
              <w:rPr>
                <w:rFonts w:hint="eastAsia" w:ascii="宋体" w:hAnsi="宋体" w:eastAsia="宋体" w:cs="宋体"/>
                <w:color w:val="auto"/>
                <w:spacing w:val="-26"/>
                <w:w w:val="90"/>
                <w:position w:val="-6"/>
                <w:sz w:val="21"/>
                <w:szCs w:val="21"/>
                <w:highlight w:val="none"/>
              </w:rPr>
              <w:t>×××××</w:t>
            </w:r>
          </w:p>
        </w:tc>
        <w:tc>
          <w:tcPr>
            <w:tcW w:w="860" w:type="pct"/>
            <w:noWrap w:val="0"/>
            <w:vAlign w:val="center"/>
          </w:tcPr>
          <w:p w14:paraId="4C6D8F82">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auto"/>
                <w:spacing w:val="-26"/>
                <w:w w:val="90"/>
                <w:position w:val="-6"/>
                <w:sz w:val="21"/>
                <w:szCs w:val="21"/>
                <w:highlight w:val="none"/>
              </w:rPr>
            </w:pPr>
            <w:r>
              <w:rPr>
                <w:rFonts w:hint="eastAsia" w:ascii="宋体" w:hAnsi="宋体" w:eastAsia="宋体" w:cs="宋体"/>
                <w:color w:val="auto"/>
                <w:spacing w:val="-26"/>
                <w:w w:val="90"/>
                <w:position w:val="-6"/>
                <w:sz w:val="21"/>
                <w:szCs w:val="21"/>
                <w:highlight w:val="none"/>
              </w:rPr>
              <w:t>R0（1、2..）</w:t>
            </w:r>
          </w:p>
        </w:tc>
        <w:tc>
          <w:tcPr>
            <w:tcW w:w="740" w:type="pct"/>
            <w:noWrap w:val="0"/>
            <w:vAlign w:val="center"/>
          </w:tcPr>
          <w:p w14:paraId="334D6211">
            <w:pPr>
              <w:keepNext w:val="0"/>
              <w:keepLines w:val="0"/>
              <w:pageBreakBefore w:val="0"/>
              <w:widowControl w:val="0"/>
              <w:kinsoku/>
              <w:wordWrap/>
              <w:overflowPunct/>
              <w:topLinePunct w:val="0"/>
              <w:autoSpaceDE w:val="0"/>
              <w:autoSpaceDN w:val="0"/>
              <w:bidi w:val="0"/>
              <w:adjustRightInd/>
              <w:snapToGrid/>
              <w:spacing w:line="360" w:lineRule="auto"/>
              <w:ind w:firstLine="274" w:firstLineChars="200"/>
              <w:jc w:val="both"/>
              <w:textAlignment w:val="auto"/>
              <w:rPr>
                <w:rFonts w:hint="eastAsia" w:ascii="宋体" w:hAnsi="宋体" w:eastAsia="宋体" w:cs="宋体"/>
                <w:color w:val="auto"/>
                <w:spacing w:val="-26"/>
                <w:w w:val="90"/>
                <w:position w:val="-6"/>
                <w:sz w:val="21"/>
                <w:szCs w:val="21"/>
                <w:highlight w:val="none"/>
              </w:rPr>
            </w:pPr>
            <w:r>
              <w:rPr>
                <w:rFonts w:hint="eastAsia" w:ascii="宋体" w:hAnsi="宋体" w:eastAsia="宋体" w:cs="宋体"/>
                <w:color w:val="auto"/>
                <w:spacing w:val="-26"/>
                <w:w w:val="90"/>
                <w:position w:val="-6"/>
                <w:sz w:val="21"/>
                <w:szCs w:val="21"/>
                <w:highlight w:val="none"/>
              </w:rPr>
              <w:t>××</w:t>
            </w:r>
          </w:p>
        </w:tc>
        <w:tc>
          <w:tcPr>
            <w:tcW w:w="805" w:type="pct"/>
            <w:noWrap w:val="0"/>
            <w:vAlign w:val="center"/>
          </w:tcPr>
          <w:p w14:paraId="5A433A3F">
            <w:pPr>
              <w:keepNext w:val="0"/>
              <w:keepLines w:val="0"/>
              <w:pageBreakBefore w:val="0"/>
              <w:widowControl w:val="0"/>
              <w:kinsoku/>
              <w:wordWrap/>
              <w:overflowPunct/>
              <w:topLinePunct w:val="0"/>
              <w:autoSpaceDE w:val="0"/>
              <w:autoSpaceDN w:val="0"/>
              <w:bidi w:val="0"/>
              <w:adjustRightInd/>
              <w:snapToGrid/>
              <w:spacing w:line="360" w:lineRule="auto"/>
              <w:ind w:firstLine="274" w:firstLineChars="200"/>
              <w:jc w:val="both"/>
              <w:textAlignment w:val="auto"/>
              <w:rPr>
                <w:rFonts w:hint="eastAsia" w:ascii="宋体" w:hAnsi="宋体" w:eastAsia="宋体" w:cs="宋体"/>
                <w:color w:val="auto"/>
                <w:spacing w:val="-26"/>
                <w:w w:val="90"/>
                <w:position w:val="-6"/>
                <w:sz w:val="21"/>
                <w:szCs w:val="21"/>
                <w:highlight w:val="none"/>
              </w:rPr>
            </w:pPr>
            <w:r>
              <w:rPr>
                <w:rFonts w:hint="eastAsia" w:ascii="宋体" w:hAnsi="宋体" w:eastAsia="宋体" w:cs="宋体"/>
                <w:color w:val="auto"/>
                <w:spacing w:val="-26"/>
                <w:w w:val="90"/>
                <w:position w:val="-6"/>
                <w:sz w:val="21"/>
                <w:szCs w:val="21"/>
                <w:highlight w:val="none"/>
              </w:rPr>
              <w:t>-×</w:t>
            </w:r>
          </w:p>
        </w:tc>
      </w:tr>
      <w:tr w14:paraId="319E9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pct"/>
            <w:noWrap w:val="0"/>
            <w:vAlign w:val="center"/>
          </w:tcPr>
          <w:p w14:paraId="2997ECA7">
            <w:pPr>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eastAsia" w:ascii="宋体" w:hAnsi="宋体" w:eastAsia="宋体" w:cs="宋体"/>
                <w:color w:val="auto"/>
                <w:spacing w:val="-26"/>
                <w:w w:val="90"/>
                <w:position w:val="-6"/>
                <w:sz w:val="21"/>
                <w:szCs w:val="21"/>
                <w:highlight w:val="none"/>
              </w:rPr>
            </w:pPr>
            <w:r>
              <w:rPr>
                <w:rFonts w:hint="eastAsia" w:ascii="宋体" w:hAnsi="宋体" w:eastAsia="宋体" w:cs="宋体"/>
                <w:color w:val="auto"/>
                <w:spacing w:val="-26"/>
                <w:w w:val="90"/>
                <w:position w:val="-6"/>
                <w:sz w:val="21"/>
                <w:szCs w:val="21"/>
                <w:highlight w:val="none"/>
              </w:rPr>
              <w:t>机构批准号后三位</w:t>
            </w:r>
          </w:p>
        </w:tc>
        <w:tc>
          <w:tcPr>
            <w:tcW w:w="412" w:type="pct"/>
            <w:noWrap w:val="0"/>
            <w:vAlign w:val="center"/>
          </w:tcPr>
          <w:p w14:paraId="41F90FA6">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auto"/>
                <w:spacing w:val="-26"/>
                <w:w w:val="90"/>
                <w:position w:val="-6"/>
                <w:sz w:val="21"/>
                <w:szCs w:val="21"/>
                <w:highlight w:val="none"/>
              </w:rPr>
            </w:pPr>
            <w:r>
              <w:rPr>
                <w:rFonts w:hint="eastAsia" w:ascii="宋体" w:hAnsi="宋体" w:eastAsia="宋体" w:cs="宋体"/>
                <w:color w:val="auto"/>
                <w:spacing w:val="-26"/>
                <w:w w:val="90"/>
                <w:position w:val="-6"/>
                <w:sz w:val="21"/>
                <w:szCs w:val="21"/>
                <w:highlight w:val="none"/>
              </w:rPr>
              <w:t>年号</w:t>
            </w:r>
          </w:p>
        </w:tc>
        <w:tc>
          <w:tcPr>
            <w:tcW w:w="606" w:type="pct"/>
            <w:noWrap w:val="0"/>
            <w:vAlign w:val="center"/>
          </w:tcPr>
          <w:p w14:paraId="67127B83">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auto"/>
                <w:spacing w:val="-26"/>
                <w:w w:val="90"/>
                <w:position w:val="-6"/>
                <w:sz w:val="21"/>
                <w:szCs w:val="21"/>
                <w:highlight w:val="none"/>
              </w:rPr>
            </w:pPr>
            <w:r>
              <w:rPr>
                <w:rFonts w:hint="eastAsia" w:ascii="宋体" w:hAnsi="宋体" w:eastAsia="宋体" w:cs="宋体"/>
                <w:color w:val="auto"/>
                <w:spacing w:val="-26"/>
                <w:w w:val="90"/>
                <w:position w:val="-6"/>
                <w:sz w:val="21"/>
                <w:szCs w:val="21"/>
                <w:highlight w:val="none"/>
              </w:rPr>
              <w:t>标准代号</w:t>
            </w:r>
          </w:p>
        </w:tc>
        <w:tc>
          <w:tcPr>
            <w:tcW w:w="662" w:type="pct"/>
            <w:noWrap w:val="0"/>
            <w:vAlign w:val="center"/>
          </w:tcPr>
          <w:p w14:paraId="425D7C60">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auto"/>
                <w:spacing w:val="-26"/>
                <w:w w:val="90"/>
                <w:position w:val="-6"/>
                <w:sz w:val="21"/>
                <w:szCs w:val="21"/>
                <w:highlight w:val="none"/>
              </w:rPr>
            </w:pPr>
            <w:r>
              <w:rPr>
                <w:rFonts w:hint="eastAsia" w:ascii="宋体" w:hAnsi="宋体" w:eastAsia="宋体" w:cs="宋体"/>
                <w:color w:val="auto"/>
                <w:spacing w:val="-26"/>
                <w:w w:val="90"/>
                <w:position w:val="-6"/>
                <w:sz w:val="21"/>
                <w:szCs w:val="21"/>
                <w:highlight w:val="none"/>
              </w:rPr>
              <w:t>顺序号</w:t>
            </w:r>
          </w:p>
        </w:tc>
        <w:tc>
          <w:tcPr>
            <w:tcW w:w="860" w:type="pct"/>
            <w:noWrap w:val="0"/>
            <w:vAlign w:val="center"/>
          </w:tcPr>
          <w:p w14:paraId="0CCBECBB">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auto"/>
                <w:spacing w:val="-26"/>
                <w:w w:val="90"/>
                <w:position w:val="-6"/>
                <w:sz w:val="21"/>
                <w:szCs w:val="21"/>
                <w:highlight w:val="none"/>
              </w:rPr>
            </w:pPr>
            <w:r>
              <w:rPr>
                <w:rFonts w:hint="eastAsia" w:ascii="宋体" w:hAnsi="宋体" w:eastAsia="宋体" w:cs="宋体"/>
                <w:color w:val="auto"/>
                <w:spacing w:val="-26"/>
                <w:w w:val="90"/>
                <w:position w:val="-6"/>
                <w:sz w:val="21"/>
                <w:szCs w:val="21"/>
                <w:highlight w:val="none"/>
                <w:lang w:val="en-US" w:eastAsia="zh-CN"/>
              </w:rPr>
              <w:t>认证周期</w:t>
            </w:r>
          </w:p>
        </w:tc>
        <w:tc>
          <w:tcPr>
            <w:tcW w:w="740" w:type="pct"/>
            <w:noWrap w:val="0"/>
            <w:vAlign w:val="center"/>
          </w:tcPr>
          <w:p w14:paraId="07F77578">
            <w:pPr>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eastAsia" w:ascii="宋体" w:hAnsi="宋体" w:eastAsia="宋体" w:cs="宋体"/>
                <w:color w:val="auto"/>
                <w:spacing w:val="-26"/>
                <w:w w:val="90"/>
                <w:position w:val="-6"/>
                <w:sz w:val="21"/>
                <w:szCs w:val="21"/>
                <w:highlight w:val="none"/>
                <w:lang w:val="en-US" w:eastAsia="zh-CN"/>
              </w:rPr>
            </w:pPr>
            <w:r>
              <w:rPr>
                <w:rFonts w:hint="eastAsia" w:ascii="宋体" w:hAnsi="宋体" w:eastAsia="宋体" w:cs="宋体"/>
                <w:color w:val="auto"/>
                <w:spacing w:val="-26"/>
                <w:w w:val="90"/>
                <w:position w:val="-6"/>
                <w:sz w:val="21"/>
                <w:szCs w:val="21"/>
                <w:highlight w:val="none"/>
                <w:lang w:val="en-US" w:eastAsia="zh-CN"/>
              </w:rPr>
              <w:t>认可机构代码</w:t>
            </w:r>
          </w:p>
        </w:tc>
        <w:tc>
          <w:tcPr>
            <w:tcW w:w="805" w:type="pct"/>
            <w:noWrap w:val="0"/>
            <w:vAlign w:val="center"/>
          </w:tcPr>
          <w:p w14:paraId="595A1F22">
            <w:pPr>
              <w:keepNext w:val="0"/>
              <w:keepLines w:val="0"/>
              <w:pageBreakBefore w:val="0"/>
              <w:widowControl w:val="0"/>
              <w:kinsoku/>
              <w:wordWrap/>
              <w:overflowPunct/>
              <w:topLinePunct w:val="0"/>
              <w:autoSpaceDE w:val="0"/>
              <w:autoSpaceDN w:val="0"/>
              <w:bidi w:val="0"/>
              <w:adjustRightInd/>
              <w:snapToGrid/>
              <w:spacing w:line="360" w:lineRule="auto"/>
              <w:ind w:firstLine="274" w:firstLineChars="200"/>
              <w:jc w:val="both"/>
              <w:textAlignment w:val="auto"/>
              <w:rPr>
                <w:rFonts w:hint="eastAsia" w:ascii="宋体" w:hAnsi="宋体" w:eastAsia="宋体" w:cs="宋体"/>
                <w:color w:val="auto"/>
                <w:spacing w:val="-26"/>
                <w:w w:val="90"/>
                <w:position w:val="-6"/>
                <w:sz w:val="21"/>
                <w:szCs w:val="21"/>
                <w:highlight w:val="none"/>
              </w:rPr>
            </w:pPr>
            <w:r>
              <w:rPr>
                <w:rFonts w:hint="eastAsia" w:ascii="宋体" w:hAnsi="宋体" w:eastAsia="宋体" w:cs="宋体"/>
                <w:color w:val="auto"/>
                <w:spacing w:val="-26"/>
                <w:w w:val="90"/>
                <w:position w:val="-6"/>
                <w:sz w:val="21"/>
                <w:szCs w:val="21"/>
                <w:highlight w:val="none"/>
              </w:rPr>
              <w:t>子证书号</w:t>
            </w:r>
          </w:p>
        </w:tc>
      </w:tr>
    </w:tbl>
    <w:p w14:paraId="7755F914">
      <w:pPr>
        <w:pStyle w:val="16"/>
        <w:keepNext w:val="0"/>
        <w:keepLines w:val="0"/>
        <w:pageBreakBefore w:val="0"/>
        <w:widowControl w:val="0"/>
        <w:kinsoku/>
        <w:wordWrap/>
        <w:overflowPunct/>
        <w:topLinePunct w:val="0"/>
        <w:autoSpaceDE w:val="0"/>
        <w:autoSpaceDN w:val="0"/>
        <w:bidi w:val="0"/>
        <w:adjustRightInd/>
        <w:snapToGrid/>
        <w:spacing w:line="360" w:lineRule="auto"/>
        <w:ind w:right="248" w:firstLine="439"/>
        <w:jc w:val="both"/>
        <w:textAlignment w:val="auto"/>
        <w:rPr>
          <w:rFonts w:hint="eastAsia" w:ascii="宋体" w:hAnsi="宋体" w:eastAsia="宋体" w:cs="宋体"/>
          <w:color w:val="auto"/>
          <w:spacing w:val="-1"/>
          <w:w w:val="95"/>
          <w:sz w:val="21"/>
          <w:szCs w:val="21"/>
          <w:highlight w:val="none"/>
        </w:rPr>
      </w:pPr>
      <w:r>
        <w:rPr>
          <w:rFonts w:hint="eastAsia" w:ascii="宋体" w:hAnsi="宋体" w:eastAsia="宋体" w:cs="宋体"/>
          <w:color w:val="auto"/>
          <w:spacing w:val="-1"/>
          <w:w w:val="95"/>
          <w:sz w:val="21"/>
          <w:szCs w:val="21"/>
          <w:highlight w:val="none"/>
        </w:rPr>
        <w:t>a）对同一个组织实施的同一个体系认证，赋予一个认证证书编号。</w:t>
      </w:r>
    </w:p>
    <w:p w14:paraId="02802BD5">
      <w:pPr>
        <w:pStyle w:val="16"/>
        <w:keepNext w:val="0"/>
        <w:keepLines w:val="0"/>
        <w:pageBreakBefore w:val="0"/>
        <w:widowControl w:val="0"/>
        <w:kinsoku/>
        <w:wordWrap/>
        <w:overflowPunct/>
        <w:topLinePunct w:val="0"/>
        <w:autoSpaceDE w:val="0"/>
        <w:autoSpaceDN w:val="0"/>
        <w:bidi w:val="0"/>
        <w:adjustRightInd/>
        <w:snapToGrid/>
        <w:spacing w:line="360" w:lineRule="auto"/>
        <w:ind w:right="248" w:firstLine="439"/>
        <w:jc w:val="both"/>
        <w:textAlignment w:val="auto"/>
        <w:rPr>
          <w:rFonts w:hint="eastAsia" w:ascii="宋体" w:hAnsi="宋体" w:eastAsia="宋体" w:cs="宋体"/>
          <w:color w:val="auto"/>
          <w:spacing w:val="-1"/>
          <w:w w:val="95"/>
          <w:sz w:val="21"/>
          <w:szCs w:val="21"/>
          <w:highlight w:val="none"/>
        </w:rPr>
      </w:pPr>
      <w:r>
        <w:rPr>
          <w:rFonts w:hint="eastAsia" w:ascii="宋体" w:hAnsi="宋体" w:eastAsia="宋体" w:cs="宋体"/>
          <w:color w:val="auto"/>
          <w:spacing w:val="-1"/>
          <w:w w:val="95"/>
          <w:sz w:val="21"/>
          <w:szCs w:val="21"/>
          <w:highlight w:val="none"/>
        </w:rPr>
        <w:t>b）认证证书编号由机构批准号(后三位序列号）、年份号、标准代号、当年发出证书的累计顺序号和后缀构成，格式如下：</w:t>
      </w:r>
    </w:p>
    <w:p w14:paraId="79FB4EEA">
      <w:pPr>
        <w:pStyle w:val="16"/>
        <w:keepNext w:val="0"/>
        <w:keepLines w:val="0"/>
        <w:pageBreakBefore w:val="0"/>
        <w:widowControl w:val="0"/>
        <w:kinsoku/>
        <w:wordWrap/>
        <w:overflowPunct/>
        <w:topLinePunct w:val="0"/>
        <w:autoSpaceDE w:val="0"/>
        <w:autoSpaceDN w:val="0"/>
        <w:bidi w:val="0"/>
        <w:adjustRightInd/>
        <w:snapToGrid/>
        <w:spacing w:line="360" w:lineRule="auto"/>
        <w:ind w:right="248" w:firstLine="439"/>
        <w:jc w:val="both"/>
        <w:textAlignment w:val="auto"/>
        <w:rPr>
          <w:rFonts w:hint="eastAsia" w:ascii="宋体" w:hAnsi="宋体" w:eastAsia="宋体" w:cs="宋体"/>
          <w:color w:val="auto"/>
          <w:spacing w:val="-1"/>
          <w:w w:val="95"/>
          <w:sz w:val="21"/>
          <w:szCs w:val="21"/>
          <w:highlight w:val="none"/>
        </w:rPr>
      </w:pPr>
      <w:r>
        <w:rPr>
          <w:rFonts w:hint="eastAsia" w:ascii="宋体" w:hAnsi="宋体" w:eastAsia="宋体" w:cs="宋体"/>
          <w:color w:val="auto"/>
          <w:spacing w:val="-1"/>
          <w:w w:val="95"/>
          <w:sz w:val="21"/>
          <w:szCs w:val="21"/>
          <w:highlight w:val="none"/>
        </w:rPr>
        <w:t>机构批准号(后三位序列号）：CNCA-R-201X-XXX；</w:t>
      </w:r>
    </w:p>
    <w:p w14:paraId="6D44A92D">
      <w:pPr>
        <w:pStyle w:val="16"/>
        <w:keepNext w:val="0"/>
        <w:keepLines w:val="0"/>
        <w:pageBreakBefore w:val="0"/>
        <w:widowControl w:val="0"/>
        <w:kinsoku/>
        <w:wordWrap/>
        <w:overflowPunct/>
        <w:topLinePunct w:val="0"/>
        <w:autoSpaceDE w:val="0"/>
        <w:autoSpaceDN w:val="0"/>
        <w:bidi w:val="0"/>
        <w:adjustRightInd/>
        <w:snapToGrid/>
        <w:spacing w:line="360" w:lineRule="auto"/>
        <w:ind w:right="248" w:firstLine="439"/>
        <w:jc w:val="both"/>
        <w:textAlignment w:val="auto"/>
        <w:rPr>
          <w:rFonts w:hint="eastAsia" w:ascii="宋体" w:hAnsi="宋体" w:eastAsia="宋体" w:cs="宋体"/>
          <w:color w:val="auto"/>
          <w:spacing w:val="-1"/>
          <w:w w:val="95"/>
          <w:sz w:val="21"/>
          <w:szCs w:val="21"/>
          <w:highlight w:val="none"/>
        </w:rPr>
      </w:pPr>
      <w:r>
        <w:rPr>
          <w:rFonts w:hint="eastAsia" w:ascii="宋体" w:hAnsi="宋体" w:eastAsia="宋体" w:cs="宋体"/>
          <w:color w:val="auto"/>
          <w:spacing w:val="-1"/>
          <w:w w:val="95"/>
          <w:sz w:val="21"/>
          <w:szCs w:val="21"/>
          <w:highlight w:val="none"/>
        </w:rPr>
        <w:t>年号：2</w:t>
      </w:r>
      <w:r>
        <w:rPr>
          <w:rFonts w:hint="eastAsia" w:ascii="宋体" w:hAnsi="宋体" w:eastAsia="宋体" w:cs="宋体"/>
          <w:color w:val="auto"/>
          <w:spacing w:val="-1"/>
          <w:w w:val="95"/>
          <w:sz w:val="21"/>
          <w:szCs w:val="21"/>
          <w:highlight w:val="none"/>
          <w:lang w:val="en-US" w:eastAsia="zh-CN"/>
        </w:rPr>
        <w:t>2</w:t>
      </w:r>
      <w:r>
        <w:rPr>
          <w:rFonts w:hint="eastAsia" w:ascii="宋体" w:hAnsi="宋体" w:eastAsia="宋体" w:cs="宋体"/>
          <w:color w:val="auto"/>
          <w:spacing w:val="-1"/>
          <w:w w:val="95"/>
          <w:sz w:val="21"/>
          <w:szCs w:val="21"/>
          <w:highlight w:val="none"/>
        </w:rPr>
        <w:t>，2</w:t>
      </w:r>
      <w:r>
        <w:rPr>
          <w:rFonts w:hint="eastAsia" w:ascii="宋体" w:hAnsi="宋体" w:eastAsia="宋体" w:cs="宋体"/>
          <w:color w:val="auto"/>
          <w:spacing w:val="-1"/>
          <w:w w:val="95"/>
          <w:sz w:val="21"/>
          <w:szCs w:val="21"/>
          <w:highlight w:val="none"/>
          <w:lang w:val="en-US" w:eastAsia="zh-CN"/>
        </w:rPr>
        <w:t>3</w:t>
      </w:r>
      <w:r>
        <w:rPr>
          <w:rFonts w:hint="eastAsia" w:ascii="宋体" w:hAnsi="宋体" w:eastAsia="宋体" w:cs="宋体"/>
          <w:color w:val="auto"/>
          <w:spacing w:val="-1"/>
          <w:w w:val="95"/>
          <w:sz w:val="21"/>
          <w:szCs w:val="21"/>
          <w:highlight w:val="none"/>
        </w:rPr>
        <w:t>…</w:t>
      </w:r>
    </w:p>
    <w:p w14:paraId="1FFF4E43">
      <w:pPr>
        <w:pStyle w:val="16"/>
        <w:keepNext w:val="0"/>
        <w:keepLines w:val="0"/>
        <w:pageBreakBefore w:val="0"/>
        <w:widowControl w:val="0"/>
        <w:kinsoku/>
        <w:wordWrap/>
        <w:overflowPunct/>
        <w:topLinePunct w:val="0"/>
        <w:autoSpaceDE w:val="0"/>
        <w:autoSpaceDN w:val="0"/>
        <w:bidi w:val="0"/>
        <w:adjustRightInd/>
        <w:snapToGrid/>
        <w:spacing w:line="360" w:lineRule="auto"/>
        <w:ind w:right="248" w:firstLine="439"/>
        <w:jc w:val="both"/>
        <w:textAlignment w:val="auto"/>
        <w:rPr>
          <w:rFonts w:hint="eastAsia" w:ascii="宋体" w:hAnsi="宋体" w:eastAsia="宋体" w:cs="宋体"/>
          <w:color w:val="auto"/>
          <w:spacing w:val="-1"/>
          <w:w w:val="95"/>
          <w:sz w:val="21"/>
          <w:szCs w:val="21"/>
          <w:highlight w:val="none"/>
        </w:rPr>
      </w:pPr>
      <w:r>
        <w:rPr>
          <w:rFonts w:hint="eastAsia" w:ascii="宋体" w:hAnsi="宋体" w:eastAsia="宋体" w:cs="宋体"/>
          <w:color w:val="auto"/>
          <w:spacing w:val="-1"/>
          <w:w w:val="95"/>
          <w:sz w:val="21"/>
          <w:szCs w:val="21"/>
          <w:highlight w:val="none"/>
        </w:rPr>
        <w:t>标准代号：认证依据标准代号：GB/T19001为Q；GB/T24001为E；GB/T45001为S。</w:t>
      </w:r>
    </w:p>
    <w:p w14:paraId="2940E080">
      <w:pPr>
        <w:pStyle w:val="16"/>
        <w:keepNext w:val="0"/>
        <w:keepLines w:val="0"/>
        <w:pageBreakBefore w:val="0"/>
        <w:widowControl w:val="0"/>
        <w:kinsoku/>
        <w:wordWrap/>
        <w:overflowPunct/>
        <w:topLinePunct w:val="0"/>
        <w:autoSpaceDE w:val="0"/>
        <w:autoSpaceDN w:val="0"/>
        <w:bidi w:val="0"/>
        <w:adjustRightInd/>
        <w:snapToGrid/>
        <w:spacing w:line="360" w:lineRule="auto"/>
        <w:ind w:right="248" w:firstLine="439"/>
        <w:jc w:val="both"/>
        <w:textAlignment w:val="auto"/>
        <w:rPr>
          <w:rFonts w:hint="eastAsia" w:ascii="宋体" w:hAnsi="宋体" w:eastAsia="宋体" w:cs="宋体"/>
          <w:color w:val="auto"/>
          <w:spacing w:val="-1"/>
          <w:w w:val="95"/>
          <w:sz w:val="21"/>
          <w:szCs w:val="21"/>
          <w:highlight w:val="none"/>
        </w:rPr>
      </w:pPr>
      <w:r>
        <w:rPr>
          <w:rFonts w:hint="eastAsia" w:ascii="宋体" w:hAnsi="宋体" w:eastAsia="宋体" w:cs="宋体"/>
          <w:color w:val="auto"/>
          <w:spacing w:val="-1"/>
          <w:w w:val="95"/>
          <w:sz w:val="21"/>
          <w:szCs w:val="21"/>
          <w:highlight w:val="none"/>
        </w:rPr>
        <w:t>顺序号：本</w:t>
      </w:r>
      <w:r>
        <w:rPr>
          <w:rFonts w:hint="eastAsia" w:ascii="宋体" w:hAnsi="宋体" w:eastAsia="宋体" w:cs="宋体"/>
          <w:color w:val="auto"/>
          <w:spacing w:val="-1"/>
          <w:w w:val="95"/>
          <w:sz w:val="21"/>
          <w:szCs w:val="21"/>
          <w:highlight w:val="none"/>
          <w:lang w:eastAsia="zh-CN"/>
        </w:rPr>
        <w:t>CHRZ</w:t>
      </w:r>
      <w:r>
        <w:rPr>
          <w:rFonts w:hint="eastAsia" w:ascii="宋体" w:hAnsi="宋体" w:eastAsia="宋体" w:cs="宋体"/>
          <w:color w:val="auto"/>
          <w:spacing w:val="-1"/>
          <w:w w:val="95"/>
          <w:sz w:val="21"/>
          <w:szCs w:val="21"/>
          <w:highlight w:val="none"/>
        </w:rPr>
        <w:t>当年发出的证书顺序号000</w:t>
      </w:r>
      <w:r>
        <w:rPr>
          <w:rFonts w:hint="eastAsia" w:ascii="宋体" w:hAnsi="宋体" w:eastAsia="宋体" w:cs="宋体"/>
          <w:color w:val="auto"/>
          <w:spacing w:val="-1"/>
          <w:w w:val="95"/>
          <w:sz w:val="21"/>
          <w:szCs w:val="21"/>
          <w:highlight w:val="none"/>
          <w:lang w:val="en-US" w:eastAsia="zh-CN"/>
        </w:rPr>
        <w:t>0</w:t>
      </w:r>
      <w:r>
        <w:rPr>
          <w:rFonts w:hint="eastAsia" w:ascii="宋体" w:hAnsi="宋体" w:eastAsia="宋体" w:cs="宋体"/>
          <w:color w:val="auto"/>
          <w:spacing w:val="-1"/>
          <w:w w:val="95"/>
          <w:sz w:val="21"/>
          <w:szCs w:val="21"/>
          <w:highlight w:val="none"/>
        </w:rPr>
        <w:t>1，00</w:t>
      </w:r>
      <w:r>
        <w:rPr>
          <w:rFonts w:hint="eastAsia" w:ascii="宋体" w:hAnsi="宋体" w:eastAsia="宋体" w:cs="宋体"/>
          <w:color w:val="auto"/>
          <w:spacing w:val="-1"/>
          <w:w w:val="95"/>
          <w:sz w:val="21"/>
          <w:szCs w:val="21"/>
          <w:highlight w:val="none"/>
          <w:lang w:val="en-US" w:eastAsia="zh-CN"/>
        </w:rPr>
        <w:t>0</w:t>
      </w:r>
      <w:r>
        <w:rPr>
          <w:rFonts w:hint="eastAsia" w:ascii="宋体" w:hAnsi="宋体" w:eastAsia="宋体" w:cs="宋体"/>
          <w:color w:val="auto"/>
          <w:spacing w:val="-1"/>
          <w:w w:val="95"/>
          <w:sz w:val="21"/>
          <w:szCs w:val="21"/>
          <w:highlight w:val="none"/>
        </w:rPr>
        <w:t>02，…</w:t>
      </w:r>
    </w:p>
    <w:p w14:paraId="78F7E6D6">
      <w:pPr>
        <w:pStyle w:val="16"/>
        <w:keepNext w:val="0"/>
        <w:keepLines w:val="0"/>
        <w:pageBreakBefore w:val="0"/>
        <w:widowControl w:val="0"/>
        <w:kinsoku/>
        <w:wordWrap/>
        <w:overflowPunct/>
        <w:topLinePunct w:val="0"/>
        <w:autoSpaceDE w:val="0"/>
        <w:autoSpaceDN w:val="0"/>
        <w:bidi w:val="0"/>
        <w:adjustRightInd/>
        <w:snapToGrid/>
        <w:spacing w:line="360" w:lineRule="auto"/>
        <w:ind w:right="248" w:firstLine="439"/>
        <w:jc w:val="both"/>
        <w:textAlignment w:val="auto"/>
        <w:rPr>
          <w:rFonts w:hint="eastAsia" w:ascii="宋体" w:hAnsi="宋体" w:eastAsia="宋体" w:cs="宋体"/>
          <w:color w:val="auto"/>
          <w:spacing w:val="-1"/>
          <w:w w:val="95"/>
          <w:sz w:val="21"/>
          <w:szCs w:val="21"/>
          <w:highlight w:val="none"/>
        </w:rPr>
      </w:pPr>
      <w:r>
        <w:rPr>
          <w:rFonts w:hint="eastAsia" w:ascii="宋体" w:hAnsi="宋体" w:eastAsia="宋体" w:cs="宋体"/>
          <w:color w:val="auto"/>
          <w:spacing w:val="-1"/>
          <w:w w:val="95"/>
          <w:sz w:val="21"/>
          <w:szCs w:val="21"/>
          <w:highlight w:val="none"/>
          <w:lang w:val="en-US" w:eastAsia="zh-CN"/>
        </w:rPr>
        <w:t>认证周期</w:t>
      </w:r>
      <w:r>
        <w:rPr>
          <w:rFonts w:hint="eastAsia" w:ascii="宋体" w:hAnsi="宋体" w:eastAsia="宋体" w:cs="宋体"/>
          <w:color w:val="auto"/>
          <w:spacing w:val="-1"/>
          <w:w w:val="95"/>
          <w:sz w:val="21"/>
          <w:szCs w:val="21"/>
          <w:highlight w:val="none"/>
        </w:rPr>
        <w:t>：表示初次认证或复评换证号。初次认证为R0，第一次复评换证为R1，第二次复评换证为R2，……</w:t>
      </w:r>
    </w:p>
    <w:p w14:paraId="2B7B2855">
      <w:pPr>
        <w:pStyle w:val="16"/>
        <w:keepNext w:val="0"/>
        <w:keepLines w:val="0"/>
        <w:pageBreakBefore w:val="0"/>
        <w:widowControl w:val="0"/>
        <w:kinsoku/>
        <w:wordWrap/>
        <w:overflowPunct/>
        <w:topLinePunct w:val="0"/>
        <w:autoSpaceDE w:val="0"/>
        <w:autoSpaceDN w:val="0"/>
        <w:bidi w:val="0"/>
        <w:adjustRightInd/>
        <w:snapToGrid/>
        <w:spacing w:line="360" w:lineRule="auto"/>
        <w:ind w:right="248" w:firstLine="439"/>
        <w:jc w:val="both"/>
        <w:textAlignment w:val="auto"/>
        <w:rPr>
          <w:rFonts w:hint="eastAsia" w:ascii="宋体" w:hAnsi="宋体" w:eastAsia="宋体" w:cs="宋体"/>
          <w:color w:val="auto"/>
          <w:spacing w:val="-1"/>
          <w:w w:val="95"/>
          <w:sz w:val="21"/>
          <w:szCs w:val="21"/>
          <w:highlight w:val="none"/>
        </w:rPr>
      </w:pPr>
      <w:r>
        <w:rPr>
          <w:rFonts w:hint="eastAsia" w:ascii="宋体" w:hAnsi="宋体" w:eastAsia="宋体" w:cs="宋体"/>
          <w:color w:val="auto"/>
          <w:spacing w:val="-1"/>
          <w:w w:val="95"/>
          <w:sz w:val="21"/>
          <w:szCs w:val="21"/>
          <w:highlight w:val="none"/>
          <w:lang w:val="en-US" w:eastAsia="zh-CN"/>
        </w:rPr>
        <w:t>认可机构代码</w:t>
      </w:r>
      <w:r>
        <w:rPr>
          <w:rFonts w:hint="eastAsia" w:ascii="宋体" w:hAnsi="宋体" w:eastAsia="宋体" w:cs="宋体"/>
          <w:color w:val="auto"/>
          <w:spacing w:val="-1"/>
          <w:w w:val="95"/>
          <w:sz w:val="21"/>
          <w:szCs w:val="21"/>
          <w:highlight w:val="none"/>
        </w:rPr>
        <w:t>：</w:t>
      </w:r>
      <w:r>
        <w:rPr>
          <w:rFonts w:hint="eastAsia" w:ascii="宋体" w:hAnsi="宋体" w:eastAsia="宋体" w:cs="宋体"/>
          <w:color w:val="auto"/>
          <w:spacing w:val="-1"/>
          <w:w w:val="95"/>
          <w:sz w:val="21"/>
          <w:szCs w:val="21"/>
          <w:highlight w:val="none"/>
          <w:lang w:val="en-US" w:eastAsia="zh-CN"/>
        </w:rPr>
        <w:t>通过认可的填写认可机构代码，未通过认可代码为“00”。</w:t>
      </w:r>
    </w:p>
    <w:p w14:paraId="36F400D5">
      <w:pPr>
        <w:pStyle w:val="16"/>
        <w:keepNext w:val="0"/>
        <w:keepLines w:val="0"/>
        <w:pageBreakBefore w:val="0"/>
        <w:widowControl w:val="0"/>
        <w:kinsoku/>
        <w:wordWrap/>
        <w:overflowPunct/>
        <w:topLinePunct w:val="0"/>
        <w:autoSpaceDE w:val="0"/>
        <w:autoSpaceDN w:val="0"/>
        <w:bidi w:val="0"/>
        <w:adjustRightInd/>
        <w:snapToGrid/>
        <w:spacing w:line="360" w:lineRule="auto"/>
        <w:ind w:right="248" w:firstLine="439"/>
        <w:jc w:val="both"/>
        <w:textAlignment w:val="auto"/>
        <w:rPr>
          <w:rFonts w:hint="eastAsia" w:ascii="宋体" w:hAnsi="宋体" w:eastAsia="宋体" w:cs="宋体"/>
          <w:color w:val="auto"/>
          <w:spacing w:val="-1"/>
          <w:w w:val="95"/>
          <w:sz w:val="21"/>
          <w:szCs w:val="21"/>
          <w:highlight w:val="none"/>
        </w:rPr>
      </w:pPr>
      <w:r>
        <w:rPr>
          <w:rFonts w:hint="eastAsia" w:ascii="宋体" w:hAnsi="宋体" w:eastAsia="宋体" w:cs="宋体"/>
          <w:color w:val="auto"/>
          <w:spacing w:val="-1"/>
          <w:w w:val="95"/>
          <w:sz w:val="21"/>
          <w:szCs w:val="21"/>
          <w:highlight w:val="none"/>
        </w:rPr>
        <w:t>子证书号：多场所组织的子证书注册号应与总部的注册号相同，在注册号后加子证书的分号：—1，—2，……</w:t>
      </w:r>
    </w:p>
    <w:p w14:paraId="27930871">
      <w:pPr>
        <w:pStyle w:val="16"/>
        <w:keepNext w:val="0"/>
        <w:keepLines w:val="0"/>
        <w:pageBreakBefore w:val="0"/>
        <w:widowControl w:val="0"/>
        <w:kinsoku/>
        <w:wordWrap/>
        <w:overflowPunct/>
        <w:topLinePunct w:val="0"/>
        <w:autoSpaceDE w:val="0"/>
        <w:autoSpaceDN w:val="0"/>
        <w:bidi w:val="0"/>
        <w:adjustRightInd/>
        <w:snapToGrid/>
        <w:spacing w:line="360" w:lineRule="auto"/>
        <w:ind w:right="248" w:firstLine="439"/>
        <w:jc w:val="both"/>
        <w:textAlignment w:val="auto"/>
        <w:rPr>
          <w:rFonts w:hint="eastAsia" w:ascii="宋体" w:hAnsi="宋体" w:eastAsia="宋体" w:cs="宋体"/>
          <w:color w:val="auto"/>
          <w:spacing w:val="-1"/>
          <w:w w:val="95"/>
          <w:sz w:val="21"/>
          <w:szCs w:val="21"/>
          <w:highlight w:val="none"/>
          <w:lang w:val="en-US" w:eastAsia="zh-CN"/>
        </w:rPr>
      </w:pPr>
      <w:r>
        <w:rPr>
          <w:rFonts w:hint="eastAsia" w:ascii="宋体" w:hAnsi="宋体" w:eastAsia="宋体" w:cs="宋体"/>
          <w:color w:val="auto"/>
          <w:spacing w:val="-1"/>
          <w:w w:val="95"/>
          <w:sz w:val="21"/>
          <w:szCs w:val="21"/>
          <w:highlight w:val="none"/>
          <w:lang w:val="en-US" w:eastAsia="zh-CN"/>
        </w:rPr>
        <w:t>撤销或注销认证证书的，原证书编号废止，不再启用。</w:t>
      </w:r>
    </w:p>
    <w:p w14:paraId="4EB78E46">
      <w:pPr>
        <w:pStyle w:val="16"/>
        <w:keepNext w:val="0"/>
        <w:keepLines w:val="0"/>
        <w:pageBreakBefore w:val="0"/>
        <w:widowControl w:val="0"/>
        <w:kinsoku/>
        <w:wordWrap/>
        <w:overflowPunct/>
        <w:topLinePunct w:val="0"/>
        <w:autoSpaceDE w:val="0"/>
        <w:autoSpaceDN w:val="0"/>
        <w:bidi w:val="0"/>
        <w:adjustRightInd/>
        <w:snapToGrid/>
        <w:spacing w:line="360" w:lineRule="auto"/>
        <w:ind w:right="248" w:firstLine="439"/>
        <w:jc w:val="both"/>
        <w:textAlignment w:val="auto"/>
        <w:rPr>
          <w:rFonts w:hint="eastAsia" w:ascii="宋体" w:hAnsi="宋体" w:eastAsia="宋体" w:cs="宋体"/>
          <w:color w:val="auto"/>
          <w:spacing w:val="-1"/>
          <w:w w:val="95"/>
          <w:sz w:val="21"/>
          <w:szCs w:val="21"/>
          <w:highlight w:val="none"/>
          <w:lang w:val="en-US" w:eastAsia="zh-CN"/>
        </w:rPr>
      </w:pPr>
      <w:r>
        <w:rPr>
          <w:rFonts w:hint="eastAsia" w:ascii="宋体" w:hAnsi="宋体" w:eastAsia="宋体" w:cs="宋体"/>
          <w:color w:val="auto"/>
          <w:spacing w:val="-1"/>
          <w:w w:val="95"/>
          <w:sz w:val="21"/>
          <w:szCs w:val="21"/>
          <w:highlight w:val="none"/>
          <w:lang w:val="en-US" w:eastAsia="zh-CN"/>
        </w:rPr>
        <w:t>CNAS 认可范围扩大批准后，原颁发不带认可标识的证书换发为带 CNAS 认可标识的证书的，原证书编号失效，应重新给予带有认可注册号的新编号。</w:t>
      </w:r>
    </w:p>
    <w:p w14:paraId="546CC87C">
      <w:pPr>
        <w:pStyle w:val="81"/>
        <w:keepNext w:val="0"/>
        <w:keepLines w:val="0"/>
        <w:pageBreakBefore w:val="0"/>
        <w:widowControl w:val="0"/>
        <w:numPr>
          <w:ilvl w:val="1"/>
          <w:numId w:val="3"/>
        </w:numPr>
        <w:tabs>
          <w:tab w:val="left" w:pos="928"/>
        </w:tabs>
        <w:kinsoku/>
        <w:wordWrap/>
        <w:overflowPunct/>
        <w:topLinePunct w:val="0"/>
        <w:autoSpaceDE w:val="0"/>
        <w:autoSpaceDN w:val="0"/>
        <w:bidi w:val="0"/>
        <w:adjustRightInd/>
        <w:snapToGrid/>
        <w:spacing w:before="153" w:after="0" w:line="360" w:lineRule="auto"/>
        <w:ind w:left="928" w:right="0" w:hanging="401"/>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认证标准换版引发的换证，证书编号保持不变。</w:t>
      </w:r>
    </w:p>
    <w:p w14:paraId="0DD30D5A">
      <w:pPr>
        <w:pStyle w:val="81"/>
        <w:keepNext w:val="0"/>
        <w:keepLines w:val="0"/>
        <w:pageBreakBefore w:val="0"/>
        <w:widowControl w:val="0"/>
        <w:numPr>
          <w:ilvl w:val="1"/>
          <w:numId w:val="3"/>
        </w:numPr>
        <w:tabs>
          <w:tab w:val="left" w:pos="945"/>
        </w:tabs>
        <w:kinsoku/>
        <w:wordWrap/>
        <w:overflowPunct/>
        <w:topLinePunct w:val="0"/>
        <w:autoSpaceDE w:val="0"/>
        <w:autoSpaceDN w:val="0"/>
        <w:bidi w:val="0"/>
        <w:adjustRightInd/>
        <w:snapToGrid/>
        <w:spacing w:before="211" w:after="0" w:line="360" w:lineRule="auto"/>
        <w:ind w:left="944" w:right="0" w:hanging="4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关于在建筑施工领域质量管理体系认证证书的特别说明：</w:t>
      </w:r>
    </w:p>
    <w:p w14:paraId="75826707">
      <w:pPr>
        <w:pStyle w:val="16"/>
        <w:keepNext w:val="0"/>
        <w:keepLines w:val="0"/>
        <w:pageBreakBefore w:val="0"/>
        <w:widowControl w:val="0"/>
        <w:kinsoku/>
        <w:wordWrap/>
        <w:overflowPunct/>
        <w:topLinePunct w:val="0"/>
        <w:autoSpaceDE w:val="0"/>
        <w:autoSpaceDN w:val="0"/>
        <w:bidi w:val="0"/>
        <w:adjustRightInd/>
        <w:snapToGrid/>
        <w:spacing w:before="11" w:line="360" w:lineRule="auto"/>
        <w:ind w:right="245" w:firstLine="436"/>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依据国家认证认可监督管理委员会《关于进一步明确建筑施工领域质量管理体系 认证证书标识有关事项</w:t>
      </w:r>
      <w:r>
        <w:rPr>
          <w:rFonts w:hint="eastAsia" w:ascii="宋体" w:hAnsi="宋体" w:eastAsia="宋体" w:cs="宋体"/>
          <w:color w:val="auto"/>
          <w:spacing w:val="-28"/>
          <w:sz w:val="21"/>
          <w:szCs w:val="21"/>
          <w:highlight w:val="none"/>
        </w:rPr>
        <w:t>的通知》</w:t>
      </w:r>
      <w:r>
        <w:rPr>
          <w:rFonts w:hint="eastAsia" w:ascii="宋体" w:hAnsi="宋体" w:eastAsia="宋体" w:cs="宋体"/>
          <w:color w:val="auto"/>
          <w:sz w:val="21"/>
          <w:szCs w:val="21"/>
          <w:highlight w:val="none"/>
        </w:rPr>
        <w:t>（国认可[2012]32</w:t>
      </w:r>
      <w:r>
        <w:rPr>
          <w:rFonts w:hint="eastAsia" w:ascii="宋体" w:hAnsi="宋体" w:eastAsia="宋体" w:cs="宋体"/>
          <w:color w:val="auto"/>
          <w:spacing w:val="15"/>
          <w:sz w:val="21"/>
          <w:szCs w:val="21"/>
          <w:highlight w:val="none"/>
        </w:rPr>
        <w:t xml:space="preserve"> 号</w:t>
      </w:r>
      <w:r>
        <w:rPr>
          <w:rFonts w:hint="eastAsia" w:ascii="宋体" w:hAnsi="宋体" w:eastAsia="宋体" w:cs="宋体"/>
          <w:color w:val="auto"/>
          <w:spacing w:val="-8"/>
          <w:sz w:val="21"/>
          <w:szCs w:val="21"/>
          <w:highlight w:val="none"/>
        </w:rPr>
        <w:t>）</w:t>
      </w:r>
      <w:r>
        <w:rPr>
          <w:rFonts w:hint="eastAsia" w:ascii="宋体" w:hAnsi="宋体" w:eastAsia="宋体" w:cs="宋体"/>
          <w:color w:val="auto"/>
          <w:spacing w:val="-2"/>
          <w:sz w:val="21"/>
          <w:szCs w:val="21"/>
          <w:highlight w:val="none"/>
        </w:rPr>
        <w:t xml:space="preserve">要求：“建筑施工企业因参与境外招投标工作，需要单独取得 </w:t>
      </w:r>
      <w:r>
        <w:rPr>
          <w:rFonts w:hint="eastAsia" w:ascii="宋体" w:hAnsi="宋体" w:eastAsia="宋体" w:cs="宋体"/>
          <w:color w:val="auto"/>
          <w:sz w:val="21"/>
          <w:szCs w:val="21"/>
          <w:highlight w:val="none"/>
        </w:rPr>
        <w:t>ISO</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z w:val="21"/>
          <w:szCs w:val="21"/>
          <w:highlight w:val="none"/>
        </w:rPr>
        <w:t>9001</w:t>
      </w:r>
      <w:r>
        <w:rPr>
          <w:rFonts w:hint="eastAsia" w:ascii="宋体" w:hAnsi="宋体" w:eastAsia="宋体" w:cs="宋体"/>
          <w:color w:val="auto"/>
          <w:spacing w:val="-6"/>
          <w:sz w:val="21"/>
          <w:szCs w:val="21"/>
          <w:highlight w:val="none"/>
        </w:rPr>
        <w:t xml:space="preserve"> 认证</w:t>
      </w:r>
      <w:r>
        <w:rPr>
          <w:rFonts w:hint="eastAsia" w:ascii="宋体" w:hAnsi="宋体" w:eastAsia="宋体" w:cs="宋体"/>
          <w:color w:val="auto"/>
          <w:spacing w:val="-4"/>
          <w:sz w:val="21"/>
          <w:szCs w:val="21"/>
          <w:highlight w:val="none"/>
        </w:rPr>
        <w:t xml:space="preserve">证书时，具有能力的认证机构依企业申请可向已取得 </w:t>
      </w:r>
      <w:r>
        <w:rPr>
          <w:rFonts w:hint="eastAsia" w:ascii="宋体" w:hAnsi="宋体" w:eastAsia="宋体" w:cs="宋体"/>
          <w:color w:val="auto"/>
          <w:sz w:val="21"/>
          <w:szCs w:val="21"/>
          <w:highlight w:val="none"/>
        </w:rPr>
        <w:t>GB/T 19001</w:t>
      </w:r>
      <w:r>
        <w:rPr>
          <w:rFonts w:hint="eastAsia" w:ascii="宋体" w:hAnsi="宋体" w:eastAsia="宋体" w:cs="宋体"/>
          <w:color w:val="auto"/>
          <w:spacing w:val="10"/>
          <w:sz w:val="21"/>
          <w:szCs w:val="21"/>
          <w:highlight w:val="none"/>
        </w:rPr>
        <w:t xml:space="preserve"> 和 </w:t>
      </w:r>
      <w:r>
        <w:rPr>
          <w:rFonts w:hint="eastAsia" w:ascii="宋体" w:hAnsi="宋体" w:eastAsia="宋体" w:cs="宋体"/>
          <w:color w:val="auto"/>
          <w:sz w:val="21"/>
          <w:szCs w:val="21"/>
          <w:highlight w:val="none"/>
        </w:rPr>
        <w:t>GB/T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z w:val="21"/>
          <w:szCs w:val="21"/>
          <w:highlight w:val="none"/>
        </w:rPr>
        <w:t>50430 认证的获证组织单独颁发ISO</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z w:val="21"/>
          <w:szCs w:val="21"/>
          <w:highlight w:val="none"/>
        </w:rPr>
        <w:t>9001</w:t>
      </w:r>
      <w:r>
        <w:rPr>
          <w:rFonts w:hint="eastAsia" w:ascii="宋体" w:hAnsi="宋体" w:eastAsia="宋体" w:cs="宋体"/>
          <w:color w:val="auto"/>
          <w:spacing w:val="-4"/>
          <w:sz w:val="21"/>
          <w:szCs w:val="21"/>
          <w:highlight w:val="none"/>
        </w:rPr>
        <w:t xml:space="preserve"> 认证证书，但该证书不能在中国境内使用和展示”。经 </w:t>
      </w:r>
      <w:r>
        <w:rPr>
          <w:rFonts w:hint="eastAsia" w:ascii="宋体" w:hAnsi="宋体" w:eastAsia="宋体" w:cs="宋体"/>
          <w:color w:val="auto"/>
          <w:sz w:val="21"/>
          <w:szCs w:val="21"/>
          <w:highlight w:val="none"/>
        </w:rPr>
        <w:t>CNAS</w:t>
      </w:r>
      <w:r>
        <w:rPr>
          <w:rFonts w:hint="eastAsia" w:ascii="宋体" w:hAnsi="宋体" w:eastAsia="宋体" w:cs="宋体"/>
          <w:color w:val="auto"/>
          <w:spacing w:val="2"/>
          <w:sz w:val="21"/>
          <w:szCs w:val="21"/>
          <w:highlight w:val="none"/>
        </w:rPr>
        <w:t xml:space="preserve"> 认可的认证机构，颁发依据为 </w:t>
      </w:r>
      <w:r>
        <w:rPr>
          <w:rFonts w:hint="eastAsia" w:ascii="宋体" w:hAnsi="宋体" w:eastAsia="宋体" w:cs="宋体"/>
          <w:color w:val="auto"/>
          <w:sz w:val="21"/>
          <w:szCs w:val="21"/>
          <w:highlight w:val="none"/>
        </w:rPr>
        <w:t>GB/T 19001/</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z w:val="21"/>
          <w:szCs w:val="21"/>
          <w:highlight w:val="none"/>
        </w:rPr>
        <w:t>ISO</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z w:val="21"/>
          <w:szCs w:val="21"/>
          <w:highlight w:val="none"/>
        </w:rPr>
        <w:t>9001</w:t>
      </w:r>
      <w:r>
        <w:rPr>
          <w:rFonts w:hint="eastAsia" w:ascii="宋体" w:hAnsi="宋体" w:eastAsia="宋体" w:cs="宋体"/>
          <w:color w:val="auto"/>
          <w:spacing w:val="25"/>
          <w:sz w:val="21"/>
          <w:szCs w:val="21"/>
          <w:highlight w:val="none"/>
        </w:rPr>
        <w:t xml:space="preserve"> 和 </w:t>
      </w:r>
      <w:r>
        <w:rPr>
          <w:rFonts w:hint="eastAsia" w:ascii="宋体" w:hAnsi="宋体" w:eastAsia="宋体" w:cs="宋体"/>
          <w:color w:val="auto"/>
          <w:sz w:val="21"/>
          <w:szCs w:val="21"/>
          <w:highlight w:val="none"/>
        </w:rPr>
        <w:t>GB/T</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z w:val="21"/>
          <w:szCs w:val="21"/>
          <w:highlight w:val="none"/>
        </w:rPr>
        <w:t>50430</w:t>
      </w:r>
      <w:r>
        <w:rPr>
          <w:rFonts w:hint="eastAsia" w:ascii="宋体" w:hAnsi="宋体" w:eastAsia="宋体" w:cs="宋体"/>
          <w:color w:val="auto"/>
          <w:spacing w:val="1"/>
          <w:sz w:val="21"/>
          <w:szCs w:val="21"/>
          <w:highlight w:val="none"/>
        </w:rPr>
        <w:t xml:space="preserve"> 的建筑施工领域质量管理体系认证证书可以带有 </w:t>
      </w:r>
      <w:r>
        <w:rPr>
          <w:rFonts w:hint="eastAsia" w:ascii="宋体" w:hAnsi="宋体" w:eastAsia="宋体" w:cs="宋体"/>
          <w:color w:val="auto"/>
          <w:sz w:val="21"/>
          <w:szCs w:val="21"/>
          <w:highlight w:val="none"/>
        </w:rPr>
        <w:t>CNAS</w:t>
      </w:r>
      <w:r>
        <w:rPr>
          <w:rFonts w:hint="eastAsia" w:ascii="宋体" w:hAnsi="宋体" w:eastAsia="宋体" w:cs="宋体"/>
          <w:color w:val="auto"/>
          <w:spacing w:val="3"/>
          <w:sz w:val="21"/>
          <w:szCs w:val="21"/>
          <w:highlight w:val="none"/>
        </w:rPr>
        <w:t xml:space="preserve"> 认可标识，但该</w:t>
      </w:r>
      <w:r>
        <w:rPr>
          <w:rFonts w:hint="eastAsia" w:ascii="宋体" w:hAnsi="宋体" w:eastAsia="宋体" w:cs="宋体"/>
          <w:color w:val="auto"/>
          <w:spacing w:val="11"/>
          <w:sz w:val="21"/>
          <w:szCs w:val="21"/>
          <w:highlight w:val="none"/>
        </w:rPr>
        <w:t xml:space="preserve">证书不得带有 </w:t>
      </w:r>
      <w:r>
        <w:rPr>
          <w:rFonts w:hint="eastAsia" w:ascii="宋体" w:hAnsi="宋体" w:eastAsia="宋体" w:cs="宋体"/>
          <w:color w:val="auto"/>
          <w:sz w:val="21"/>
          <w:szCs w:val="21"/>
          <w:highlight w:val="none"/>
        </w:rPr>
        <w:t>IAF-MLA/CNAS</w:t>
      </w:r>
      <w:r>
        <w:rPr>
          <w:rFonts w:hint="eastAsia" w:ascii="宋体" w:hAnsi="宋体" w:eastAsia="宋体" w:cs="宋体"/>
          <w:color w:val="auto"/>
          <w:spacing w:val="18"/>
          <w:sz w:val="21"/>
          <w:szCs w:val="21"/>
          <w:highlight w:val="none"/>
        </w:rPr>
        <w:t xml:space="preserve"> 联合标识； 经 </w:t>
      </w:r>
      <w:r>
        <w:rPr>
          <w:rFonts w:hint="eastAsia" w:ascii="宋体" w:hAnsi="宋体" w:eastAsia="宋体" w:cs="宋体"/>
          <w:color w:val="auto"/>
          <w:sz w:val="21"/>
          <w:szCs w:val="21"/>
          <w:highlight w:val="none"/>
        </w:rPr>
        <w:t>CNAS</w:t>
      </w:r>
      <w:r>
        <w:rPr>
          <w:rFonts w:hint="eastAsia" w:ascii="宋体" w:hAnsi="宋体" w:eastAsia="宋体" w:cs="宋体"/>
          <w:color w:val="auto"/>
          <w:spacing w:val="8"/>
          <w:sz w:val="21"/>
          <w:szCs w:val="21"/>
          <w:highlight w:val="none"/>
        </w:rPr>
        <w:t xml:space="preserve"> 认可的认证机构，向建筑施工组织单独颁发的 </w:t>
      </w:r>
      <w:r>
        <w:rPr>
          <w:rFonts w:hint="eastAsia" w:ascii="宋体" w:hAnsi="宋体" w:eastAsia="宋体" w:cs="宋体"/>
          <w:color w:val="auto"/>
          <w:sz w:val="21"/>
          <w:szCs w:val="21"/>
          <w:highlight w:val="none"/>
        </w:rPr>
        <w:t>ISO9001</w:t>
      </w:r>
      <w:r>
        <w:rPr>
          <w:rFonts w:hint="eastAsia" w:ascii="宋体" w:hAnsi="宋体" w:eastAsia="宋体" w:cs="宋体"/>
          <w:color w:val="auto"/>
          <w:spacing w:val="12"/>
          <w:sz w:val="21"/>
          <w:szCs w:val="21"/>
          <w:highlight w:val="none"/>
        </w:rPr>
        <w:t xml:space="preserve"> 认证 证书可带有 </w:t>
      </w:r>
      <w:r>
        <w:rPr>
          <w:rFonts w:hint="eastAsia" w:ascii="宋体" w:hAnsi="宋体" w:eastAsia="宋体" w:cs="宋体"/>
          <w:color w:val="auto"/>
          <w:sz w:val="21"/>
          <w:szCs w:val="21"/>
          <w:highlight w:val="none"/>
        </w:rPr>
        <w:t>IAF-MLA/CNAS</w:t>
      </w:r>
      <w:r>
        <w:rPr>
          <w:rFonts w:hint="eastAsia" w:ascii="宋体" w:hAnsi="宋体" w:eastAsia="宋体" w:cs="宋体"/>
          <w:color w:val="auto"/>
          <w:spacing w:val="9"/>
          <w:sz w:val="21"/>
          <w:szCs w:val="21"/>
          <w:highlight w:val="none"/>
        </w:rPr>
        <w:t xml:space="preserve"> 联合标识，但该证书的认证范围及证书注册号码应与依据 </w:t>
      </w:r>
      <w:r>
        <w:rPr>
          <w:rFonts w:hint="eastAsia" w:ascii="宋体" w:hAnsi="宋体" w:eastAsia="宋体" w:cs="宋体"/>
          <w:color w:val="auto"/>
          <w:sz w:val="21"/>
          <w:szCs w:val="21"/>
          <w:highlight w:val="none"/>
        </w:rPr>
        <w:t>GB/T50430 和 GB/T 19001 标准的认证证书相同。</w:t>
      </w:r>
    </w:p>
    <w:p w14:paraId="2E70E92F">
      <w:pPr>
        <w:keepNext w:val="0"/>
        <w:keepLines w:val="0"/>
        <w:pageBreakBefore w:val="0"/>
        <w:widowControl w:val="0"/>
        <w:kinsoku/>
        <w:wordWrap/>
        <w:overflowPunct/>
        <w:topLinePunct w:val="0"/>
        <w:autoSpaceDE w:val="0"/>
        <w:autoSpaceDN w:val="0"/>
        <w:bidi w:val="0"/>
        <w:adjustRightInd/>
        <w:snapToGrid/>
        <w:spacing w:before="0" w:line="360" w:lineRule="auto"/>
        <w:ind w:left="544" w:right="0" w:firstLine="0"/>
        <w:jc w:val="left"/>
        <w:textAlignment w:val="auto"/>
        <w:rPr>
          <w:rFonts w:hint="eastAsia" w:ascii="宋体" w:hAnsi="宋体" w:eastAsia="宋体" w:cs="宋体"/>
          <w:b/>
          <w:color w:val="auto"/>
          <w:sz w:val="21"/>
          <w:szCs w:val="21"/>
          <w:highlight w:val="none"/>
        </w:rPr>
      </w:pPr>
      <w:bookmarkStart w:id="10" w:name="_bookmark3"/>
      <w:bookmarkEnd w:id="10"/>
      <w:bookmarkStart w:id="11" w:name="三、监督审核、见证评审和特殊审核的要求"/>
      <w:bookmarkEnd w:id="11"/>
      <w:r>
        <w:rPr>
          <w:rFonts w:hint="eastAsia" w:ascii="宋体" w:hAnsi="宋体" w:eastAsia="宋体" w:cs="宋体"/>
          <w:b/>
          <w:color w:val="auto"/>
          <w:sz w:val="21"/>
          <w:szCs w:val="21"/>
          <w:highlight w:val="none"/>
        </w:rPr>
        <w:t>三、监督审核、见证评审和特殊审核的要求</w:t>
      </w:r>
    </w:p>
    <w:p w14:paraId="12A613E0">
      <w:pPr>
        <w:pStyle w:val="16"/>
        <w:keepNext w:val="0"/>
        <w:keepLines w:val="0"/>
        <w:pageBreakBefore w:val="0"/>
        <w:widowControl w:val="0"/>
        <w:kinsoku/>
        <w:wordWrap/>
        <w:overflowPunct/>
        <w:topLinePunct w:val="0"/>
        <w:autoSpaceDE w:val="0"/>
        <w:autoSpaceDN w:val="0"/>
        <w:bidi w:val="0"/>
        <w:adjustRightInd/>
        <w:snapToGrid/>
        <w:spacing w:before="14" w:line="360" w:lineRule="auto"/>
        <w:ind w:left="544" w:firstLine="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监督审核是</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验证获证组织的管理体系是否持续运作，评定其体系是否满足认证要求的审核活动。</w:t>
      </w:r>
    </w:p>
    <w:p w14:paraId="29F0C7AF">
      <w:pPr>
        <w:pStyle w:val="16"/>
        <w:keepNext w:val="0"/>
        <w:keepLines w:val="0"/>
        <w:pageBreakBefore w:val="0"/>
        <w:widowControl w:val="0"/>
        <w:kinsoku/>
        <w:wordWrap/>
        <w:overflowPunct/>
        <w:topLinePunct w:val="0"/>
        <w:autoSpaceDE w:val="0"/>
        <w:autoSpaceDN w:val="0"/>
        <w:bidi w:val="0"/>
        <w:adjustRightInd/>
        <w:snapToGrid/>
        <w:spacing w:before="0" w:line="360" w:lineRule="auto"/>
        <w:ind w:left="124" w:leftChars="59" w:right="0" w:firstLine="451" w:firstLineChars="21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见证评审是认可机构（</w:t>
      </w:r>
      <w:r>
        <w:rPr>
          <w:rFonts w:hint="eastAsia" w:ascii="宋体" w:hAnsi="宋体" w:eastAsia="宋体" w:cs="宋体"/>
          <w:color w:val="auto"/>
          <w:spacing w:val="-8"/>
          <w:sz w:val="21"/>
          <w:szCs w:val="21"/>
          <w:highlight w:val="none"/>
        </w:rPr>
        <w:t xml:space="preserve">如中国 </w:t>
      </w:r>
      <w:r>
        <w:rPr>
          <w:rFonts w:hint="eastAsia" w:ascii="宋体" w:hAnsi="宋体" w:eastAsia="宋体" w:cs="宋体"/>
          <w:color w:val="auto"/>
          <w:sz w:val="21"/>
          <w:szCs w:val="21"/>
          <w:highlight w:val="none"/>
        </w:rPr>
        <w:t>CNAS）</w:t>
      </w:r>
      <w:r>
        <w:rPr>
          <w:rFonts w:hint="eastAsia" w:ascii="宋体" w:hAnsi="宋体" w:eastAsia="宋体" w:cs="宋体"/>
          <w:color w:val="auto"/>
          <w:spacing w:val="-1"/>
          <w:sz w:val="21"/>
          <w:szCs w:val="21"/>
          <w:highlight w:val="none"/>
        </w:rPr>
        <w:t>对认证机构的认证审核能力和专业能力的现场验证，是认可评审工</w:t>
      </w:r>
      <w:r>
        <w:rPr>
          <w:rFonts w:hint="eastAsia" w:ascii="宋体" w:hAnsi="宋体" w:eastAsia="宋体" w:cs="宋体"/>
          <w:color w:val="auto"/>
          <w:sz w:val="21"/>
          <w:szCs w:val="21"/>
          <w:highlight w:val="none"/>
        </w:rPr>
        <w:t>作中不可缺少的一部分。</w:t>
      </w:r>
    </w:p>
    <w:p w14:paraId="0A59CFF0">
      <w:pPr>
        <w:pStyle w:val="16"/>
        <w:keepNext w:val="0"/>
        <w:keepLines w:val="0"/>
        <w:pageBreakBefore w:val="0"/>
        <w:widowControl w:val="0"/>
        <w:kinsoku/>
        <w:wordWrap/>
        <w:overflowPunct/>
        <w:topLinePunct w:val="0"/>
        <w:autoSpaceDE w:val="0"/>
        <w:autoSpaceDN w:val="0"/>
        <w:bidi w:val="0"/>
        <w:adjustRightInd/>
        <w:snapToGrid/>
        <w:spacing w:before="14" w:line="360" w:lineRule="auto"/>
        <w:ind w:left="544" w:firstLine="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特殊审核包括扩大认证范围审核、提前较短时间的审核（例如：投诉的调查，对变更的回应）等。</w:t>
      </w:r>
    </w:p>
    <w:p w14:paraId="5BB22791">
      <w:pPr>
        <w:pStyle w:val="81"/>
        <w:keepNext w:val="0"/>
        <w:keepLines w:val="0"/>
        <w:pageBreakBefore w:val="0"/>
        <w:widowControl w:val="0"/>
        <w:numPr>
          <w:ilvl w:val="1"/>
          <w:numId w:val="0"/>
        </w:numPr>
        <w:tabs>
          <w:tab w:val="left" w:pos="892"/>
        </w:tabs>
        <w:kinsoku/>
        <w:wordWrap/>
        <w:overflowPunct/>
        <w:topLinePunct w:val="0"/>
        <w:autoSpaceDE w:val="0"/>
        <w:autoSpaceDN w:val="0"/>
        <w:bidi w:val="0"/>
        <w:adjustRightInd/>
        <w:snapToGrid/>
        <w:spacing w:before="13" w:after="0" w:line="360" w:lineRule="auto"/>
        <w:ind w:left="892" w:leftChars="0" w:right="0" w:rightChars="0" w:hanging="348"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3.1</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监督审核</w:t>
      </w:r>
    </w:p>
    <w:p w14:paraId="0F9CB1F5">
      <w:pPr>
        <w:pStyle w:val="81"/>
        <w:keepNext w:val="0"/>
        <w:keepLines w:val="0"/>
        <w:pageBreakBefore w:val="0"/>
        <w:widowControl w:val="0"/>
        <w:numPr>
          <w:ilvl w:val="2"/>
          <w:numId w:val="0"/>
        </w:numPr>
        <w:tabs>
          <w:tab w:val="left" w:pos="1068"/>
        </w:tabs>
        <w:kinsoku/>
        <w:wordWrap/>
        <w:overflowPunct/>
        <w:topLinePunct w:val="0"/>
        <w:autoSpaceDE w:val="0"/>
        <w:autoSpaceDN w:val="0"/>
        <w:bidi w:val="0"/>
        <w:adjustRightInd/>
        <w:snapToGrid/>
        <w:spacing w:before="12" w:after="0" w:line="360" w:lineRule="auto"/>
        <w:ind w:left="1067" w:leftChars="0" w:right="0" w:rightChars="0" w:hanging="52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3.1.1</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监督审核的时间</w:t>
      </w:r>
    </w:p>
    <w:p w14:paraId="093955B0">
      <w:pPr>
        <w:pStyle w:val="16"/>
        <w:keepNext w:val="0"/>
        <w:keepLines w:val="0"/>
        <w:pageBreakBefore w:val="0"/>
        <w:widowControl w:val="0"/>
        <w:kinsoku/>
        <w:wordWrap/>
        <w:overflowPunct/>
        <w:topLinePunct w:val="0"/>
        <w:autoSpaceDE w:val="0"/>
        <w:autoSpaceDN w:val="0"/>
        <w:bidi w:val="0"/>
        <w:adjustRightInd/>
        <w:snapToGrid/>
        <w:spacing w:before="13" w:line="360" w:lineRule="auto"/>
        <w:ind w:right="245" w:firstLine="436"/>
        <w:jc w:val="both"/>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lang w:eastAsia="zh-CN"/>
        </w:rPr>
        <w:t>春晖国际认证</w:t>
      </w:r>
      <w:r>
        <w:rPr>
          <w:rFonts w:hint="eastAsia" w:ascii="宋体" w:hAnsi="宋体" w:eastAsia="宋体" w:cs="宋体"/>
          <w:color w:val="auto"/>
          <w:spacing w:val="-4"/>
          <w:sz w:val="21"/>
          <w:szCs w:val="21"/>
          <w:highlight w:val="none"/>
        </w:rPr>
        <w:t>对获证组织定期的监督审核在证书的有效期内每年一次均衡分布进行，在上次现场审核后的第 11 个月对其相应的管理体系进行监督审核（一般第三次监督转为再认证），正常情况下，两次</w:t>
      </w:r>
      <w:r>
        <w:rPr>
          <w:rFonts w:hint="eastAsia" w:ascii="宋体" w:hAnsi="宋体" w:eastAsia="宋体" w:cs="宋体"/>
          <w:color w:val="auto"/>
          <w:spacing w:val="-4"/>
          <w:sz w:val="21"/>
          <w:szCs w:val="21"/>
          <w:highlight w:val="none"/>
          <w:lang w:val="en-US" w:eastAsia="zh-CN"/>
        </w:rPr>
        <w:t>监督审核</w:t>
      </w:r>
      <w:r>
        <w:rPr>
          <w:rFonts w:hint="eastAsia" w:ascii="宋体" w:hAnsi="宋体" w:eastAsia="宋体" w:cs="宋体"/>
          <w:color w:val="auto"/>
          <w:spacing w:val="-4"/>
          <w:sz w:val="21"/>
          <w:szCs w:val="21"/>
          <w:highlight w:val="none"/>
        </w:rPr>
        <w:t>间隔不得超过 12 个月。</w:t>
      </w:r>
    </w:p>
    <w:p w14:paraId="2D2CA658">
      <w:pPr>
        <w:pStyle w:val="81"/>
        <w:keepNext w:val="0"/>
        <w:keepLines w:val="0"/>
        <w:pageBreakBefore w:val="0"/>
        <w:widowControl w:val="0"/>
        <w:numPr>
          <w:ilvl w:val="2"/>
          <w:numId w:val="0"/>
        </w:numPr>
        <w:tabs>
          <w:tab w:val="left" w:pos="1068"/>
        </w:tabs>
        <w:kinsoku/>
        <w:wordWrap/>
        <w:overflowPunct/>
        <w:topLinePunct w:val="0"/>
        <w:autoSpaceDE w:val="0"/>
        <w:autoSpaceDN w:val="0"/>
        <w:bidi w:val="0"/>
        <w:adjustRightInd/>
        <w:snapToGrid/>
        <w:spacing w:before="4" w:after="0" w:line="360" w:lineRule="auto"/>
        <w:ind w:left="1067" w:leftChars="0" w:right="0" w:rightChars="0" w:hanging="52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3.1.2</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监督审核的实施</w:t>
      </w:r>
    </w:p>
    <w:p w14:paraId="60B2DFF8">
      <w:pPr>
        <w:pStyle w:val="16"/>
        <w:keepNext w:val="0"/>
        <w:keepLines w:val="0"/>
        <w:pageBreakBefore w:val="0"/>
        <w:widowControl w:val="0"/>
        <w:kinsoku/>
        <w:wordWrap/>
        <w:overflowPunct/>
        <w:topLinePunct w:val="0"/>
        <w:autoSpaceDE w:val="0"/>
        <w:autoSpaceDN w:val="0"/>
        <w:bidi w:val="0"/>
        <w:adjustRightInd/>
        <w:snapToGrid/>
        <w:spacing w:before="14" w:line="360" w:lineRule="auto"/>
        <w:ind w:left="544" w:firstLine="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监督审核由</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根据认证认可相关规则进行策划，并派出审核组实施现场审核。</w:t>
      </w:r>
    </w:p>
    <w:p w14:paraId="5C5C651B">
      <w:pPr>
        <w:pStyle w:val="16"/>
        <w:keepNext w:val="0"/>
        <w:keepLines w:val="0"/>
        <w:pageBreakBefore w:val="0"/>
        <w:widowControl w:val="0"/>
        <w:kinsoku/>
        <w:wordWrap/>
        <w:overflowPunct/>
        <w:topLinePunct w:val="0"/>
        <w:autoSpaceDE w:val="0"/>
        <w:autoSpaceDN w:val="0"/>
        <w:bidi w:val="0"/>
        <w:adjustRightInd/>
        <w:snapToGrid/>
        <w:spacing w:before="11" w:line="360" w:lineRule="auto"/>
        <w:ind w:left="544" w:firstLine="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定期监督审核的现场审核计划由审核组长于审核实施前一周通知，以便获证组织做出安排。</w:t>
      </w:r>
    </w:p>
    <w:p w14:paraId="7EA21B16">
      <w:pPr>
        <w:pStyle w:val="16"/>
        <w:keepNext w:val="0"/>
        <w:keepLines w:val="0"/>
        <w:pageBreakBefore w:val="0"/>
        <w:widowControl w:val="0"/>
        <w:kinsoku/>
        <w:wordWrap/>
        <w:overflowPunct/>
        <w:topLinePunct w:val="0"/>
        <w:autoSpaceDE w:val="0"/>
        <w:autoSpaceDN w:val="0"/>
        <w:bidi w:val="0"/>
        <w:adjustRightInd/>
        <w:snapToGrid/>
        <w:spacing w:before="14" w:line="360" w:lineRule="auto"/>
        <w:ind w:right="245" w:firstLine="436"/>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基于各种原因，如在正常监督审核时没有在建项目现场、生产现场，可向</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申请在两次常规审核之间增加在建项目现场、生产现场的审核，否则两次监督如无有关现场，将导致缩减证书范围或影响证书整体的有效性。</w:t>
      </w:r>
    </w:p>
    <w:p w14:paraId="5155BB3C">
      <w:pPr>
        <w:pStyle w:val="81"/>
        <w:keepNext w:val="0"/>
        <w:keepLines w:val="0"/>
        <w:pageBreakBefore w:val="0"/>
        <w:widowControl w:val="0"/>
        <w:numPr>
          <w:ilvl w:val="2"/>
          <w:numId w:val="0"/>
        </w:numPr>
        <w:tabs>
          <w:tab w:val="left" w:pos="1068"/>
        </w:tabs>
        <w:kinsoku/>
        <w:wordWrap/>
        <w:overflowPunct/>
        <w:topLinePunct w:val="0"/>
        <w:autoSpaceDE w:val="0"/>
        <w:autoSpaceDN w:val="0"/>
        <w:bidi w:val="0"/>
        <w:adjustRightInd/>
        <w:snapToGrid/>
        <w:spacing w:before="4" w:after="0" w:line="360" w:lineRule="auto"/>
        <w:ind w:left="1067" w:leftChars="0" w:right="0" w:rightChars="0" w:hanging="52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3.1.3</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监督审核的延期</w:t>
      </w:r>
    </w:p>
    <w:p w14:paraId="51CEA005">
      <w:pPr>
        <w:pStyle w:val="16"/>
        <w:keepNext w:val="0"/>
        <w:keepLines w:val="0"/>
        <w:pageBreakBefore w:val="0"/>
        <w:widowControl w:val="0"/>
        <w:kinsoku/>
        <w:wordWrap/>
        <w:overflowPunct/>
        <w:topLinePunct w:val="0"/>
        <w:autoSpaceDE w:val="0"/>
        <w:autoSpaceDN w:val="0"/>
        <w:bidi w:val="0"/>
        <w:adjustRightInd/>
        <w:snapToGrid/>
        <w:spacing w:before="14" w:line="360" w:lineRule="auto"/>
        <w:ind w:right="248" w:firstLine="43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确因特殊原因，获证组织无法按时接受定期监督审核，可于定期监督时间之前，书面向</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提出延期申请，</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将根据相关规则做出决定。</w:t>
      </w:r>
    </w:p>
    <w:p w14:paraId="52A75F2B">
      <w:pPr>
        <w:pStyle w:val="16"/>
        <w:keepNext w:val="0"/>
        <w:keepLines w:val="0"/>
        <w:pageBreakBefore w:val="0"/>
        <w:widowControl w:val="0"/>
        <w:kinsoku/>
        <w:wordWrap/>
        <w:overflowPunct/>
        <w:topLinePunct w:val="0"/>
        <w:autoSpaceDE w:val="0"/>
        <w:autoSpaceDN w:val="0"/>
        <w:bidi w:val="0"/>
        <w:adjustRightInd/>
        <w:snapToGrid/>
        <w:spacing w:before="1" w:line="360" w:lineRule="auto"/>
        <w:ind w:left="544" w:firstLine="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获证组织请慎重提出延期审核申请，有可能因为超期审核导致认证证书的暂停。</w:t>
      </w:r>
    </w:p>
    <w:p w14:paraId="104798A6">
      <w:pPr>
        <w:pStyle w:val="81"/>
        <w:keepNext w:val="0"/>
        <w:keepLines w:val="0"/>
        <w:pageBreakBefore w:val="0"/>
        <w:widowControl w:val="0"/>
        <w:numPr>
          <w:ilvl w:val="1"/>
          <w:numId w:val="0"/>
        </w:numPr>
        <w:tabs>
          <w:tab w:val="left" w:pos="1050"/>
        </w:tabs>
        <w:kinsoku/>
        <w:wordWrap/>
        <w:overflowPunct/>
        <w:topLinePunct w:val="0"/>
        <w:autoSpaceDE w:val="0"/>
        <w:autoSpaceDN w:val="0"/>
        <w:bidi w:val="0"/>
        <w:adjustRightInd/>
        <w:snapToGrid/>
        <w:spacing w:before="14" w:after="0" w:line="360" w:lineRule="auto"/>
        <w:ind w:left="1049" w:leftChars="0" w:right="0" w:rightChars="0" w:hanging="505"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3.2.</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见证评审</w:t>
      </w:r>
    </w:p>
    <w:p w14:paraId="5CFF9198">
      <w:pPr>
        <w:pStyle w:val="16"/>
        <w:keepNext w:val="0"/>
        <w:keepLines w:val="0"/>
        <w:pageBreakBefore w:val="0"/>
        <w:widowControl w:val="0"/>
        <w:kinsoku/>
        <w:wordWrap/>
        <w:overflowPunct/>
        <w:topLinePunct w:val="0"/>
        <w:autoSpaceDE w:val="0"/>
        <w:autoSpaceDN w:val="0"/>
        <w:bidi w:val="0"/>
        <w:adjustRightInd/>
        <w:snapToGrid/>
        <w:spacing w:before="11" w:line="360" w:lineRule="auto"/>
        <w:ind w:right="196" w:firstLine="43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根据双方合同及认可规则规定，拟取得或已获得带认可标志认证证书的组织有义务接受认可机构有选择性的见证评审。见证评审人员开支和评审费由</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承担。</w:t>
      </w:r>
    </w:p>
    <w:p w14:paraId="3ACD5A7E">
      <w:pPr>
        <w:pStyle w:val="81"/>
        <w:keepNext w:val="0"/>
        <w:keepLines w:val="0"/>
        <w:pageBreakBefore w:val="0"/>
        <w:widowControl w:val="0"/>
        <w:numPr>
          <w:ilvl w:val="1"/>
          <w:numId w:val="0"/>
        </w:numPr>
        <w:tabs>
          <w:tab w:val="left" w:pos="1050"/>
        </w:tabs>
        <w:kinsoku/>
        <w:wordWrap/>
        <w:overflowPunct/>
        <w:topLinePunct w:val="0"/>
        <w:autoSpaceDE w:val="0"/>
        <w:autoSpaceDN w:val="0"/>
        <w:bidi w:val="0"/>
        <w:adjustRightInd/>
        <w:snapToGrid/>
        <w:spacing w:before="18" w:after="0" w:line="360" w:lineRule="auto"/>
        <w:ind w:left="1049" w:leftChars="0" w:right="0" w:rightChars="0" w:hanging="505"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3.3.</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特殊审核</w:t>
      </w:r>
    </w:p>
    <w:p w14:paraId="771E13B0">
      <w:pPr>
        <w:pStyle w:val="81"/>
        <w:keepNext w:val="0"/>
        <w:keepLines w:val="0"/>
        <w:pageBreakBefore w:val="0"/>
        <w:widowControl w:val="0"/>
        <w:numPr>
          <w:ilvl w:val="2"/>
          <w:numId w:val="0"/>
        </w:numPr>
        <w:tabs>
          <w:tab w:val="left" w:pos="1120"/>
        </w:tabs>
        <w:kinsoku/>
        <w:wordWrap/>
        <w:overflowPunct/>
        <w:topLinePunct w:val="0"/>
        <w:autoSpaceDE w:val="0"/>
        <w:autoSpaceDN w:val="0"/>
        <w:bidi w:val="0"/>
        <w:adjustRightInd/>
        <w:snapToGrid/>
        <w:spacing w:before="11" w:after="0" w:line="360" w:lineRule="auto"/>
        <w:ind w:left="1120" w:leftChars="0" w:right="0" w:rightChars="0" w:hanging="576"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3.3.1</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扩大认证范围</w:t>
      </w:r>
    </w:p>
    <w:p w14:paraId="561473E6">
      <w:pPr>
        <w:pStyle w:val="16"/>
        <w:keepNext w:val="0"/>
        <w:keepLines w:val="0"/>
        <w:pageBreakBefore w:val="0"/>
        <w:widowControl w:val="0"/>
        <w:kinsoku/>
        <w:wordWrap/>
        <w:overflowPunct/>
        <w:topLinePunct w:val="0"/>
        <w:autoSpaceDE w:val="0"/>
        <w:autoSpaceDN w:val="0"/>
        <w:bidi w:val="0"/>
        <w:adjustRightInd/>
        <w:snapToGrid/>
        <w:spacing w:before="14" w:line="360" w:lineRule="auto"/>
        <w:ind w:right="248" w:firstLine="43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获证组织要求扩大认证范围时，应向</w:t>
      </w:r>
      <w:r>
        <w:rPr>
          <w:rFonts w:hint="eastAsia" w:ascii="宋体" w:hAnsi="宋体" w:eastAsia="宋体" w:cs="宋体"/>
          <w:color w:val="auto"/>
          <w:spacing w:val="-4"/>
          <w:sz w:val="21"/>
          <w:szCs w:val="21"/>
          <w:highlight w:val="none"/>
          <w:lang w:eastAsia="zh-CN"/>
        </w:rPr>
        <w:t>春晖国际认证</w:t>
      </w:r>
      <w:r>
        <w:rPr>
          <w:rFonts w:hint="eastAsia" w:ascii="宋体" w:hAnsi="宋体" w:eastAsia="宋体" w:cs="宋体"/>
          <w:color w:val="auto"/>
          <w:spacing w:val="-4"/>
          <w:sz w:val="21"/>
          <w:szCs w:val="21"/>
          <w:highlight w:val="none"/>
        </w:rPr>
        <w:t>提出书面申请，填写申请表、认证合同或</w:t>
      </w:r>
      <w:r>
        <w:rPr>
          <w:rFonts w:hint="eastAsia" w:ascii="宋体" w:hAnsi="宋体" w:eastAsia="宋体" w:cs="宋体"/>
          <w:color w:val="auto"/>
          <w:spacing w:val="-4"/>
          <w:sz w:val="21"/>
          <w:szCs w:val="21"/>
          <w:highlight w:val="none"/>
          <w:lang w:eastAsia="zh-CN"/>
        </w:rPr>
        <w:t>《认证信息变更申请表》</w:t>
      </w:r>
      <w:r>
        <w:rPr>
          <w:rFonts w:hint="eastAsia" w:ascii="宋体" w:hAnsi="宋体" w:eastAsia="宋体" w:cs="宋体"/>
          <w:color w:val="auto"/>
          <w:spacing w:val="-11"/>
          <w:sz w:val="21"/>
          <w:szCs w:val="21"/>
          <w:highlight w:val="none"/>
        </w:rPr>
        <w:t>，并提交所需要的信息和资料。</w:t>
      </w:r>
    </w:p>
    <w:p w14:paraId="7A48A828">
      <w:pPr>
        <w:pStyle w:val="16"/>
        <w:keepNext w:val="0"/>
        <w:keepLines w:val="0"/>
        <w:pageBreakBefore w:val="0"/>
        <w:widowControl w:val="0"/>
        <w:kinsoku/>
        <w:wordWrap/>
        <w:overflowPunct/>
        <w:topLinePunct w:val="0"/>
        <w:autoSpaceDE w:val="0"/>
        <w:autoSpaceDN w:val="0"/>
        <w:bidi w:val="0"/>
        <w:adjustRightInd/>
        <w:snapToGrid/>
        <w:spacing w:before="14" w:line="360" w:lineRule="auto"/>
        <w:ind w:right="248" w:firstLine="436"/>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经</w:t>
      </w:r>
      <w:r>
        <w:rPr>
          <w:rFonts w:hint="eastAsia" w:ascii="宋体" w:hAnsi="宋体" w:eastAsia="宋体" w:cs="宋体"/>
          <w:color w:val="auto"/>
          <w:spacing w:val="-4"/>
          <w:sz w:val="21"/>
          <w:szCs w:val="21"/>
          <w:highlight w:val="none"/>
          <w:lang w:eastAsia="zh-CN"/>
        </w:rPr>
        <w:t>春晖国际认证</w:t>
      </w:r>
      <w:r>
        <w:rPr>
          <w:rFonts w:hint="eastAsia" w:ascii="宋体" w:hAnsi="宋体" w:eastAsia="宋体" w:cs="宋体"/>
          <w:color w:val="auto"/>
          <w:spacing w:val="-4"/>
          <w:sz w:val="21"/>
          <w:szCs w:val="21"/>
          <w:highlight w:val="none"/>
        </w:rPr>
        <w:t>进行申请评审后，根据所扩大范围对管理体系的影响程度进行必要的审核方案策划和实施(可结合监督审核同时进行)，并经技术委员会作出认证决定后，换发新的扩大范围后的认证证书，有效期与原证书一致。</w:t>
      </w:r>
    </w:p>
    <w:p w14:paraId="75BE0BB6">
      <w:pPr>
        <w:pStyle w:val="81"/>
        <w:keepNext w:val="0"/>
        <w:keepLines w:val="0"/>
        <w:pageBreakBefore w:val="0"/>
        <w:widowControl w:val="0"/>
        <w:numPr>
          <w:ilvl w:val="2"/>
          <w:numId w:val="0"/>
        </w:numPr>
        <w:tabs>
          <w:tab w:val="left" w:pos="1120"/>
        </w:tabs>
        <w:kinsoku/>
        <w:wordWrap/>
        <w:overflowPunct/>
        <w:topLinePunct w:val="0"/>
        <w:autoSpaceDE w:val="0"/>
        <w:autoSpaceDN w:val="0"/>
        <w:bidi w:val="0"/>
        <w:adjustRightInd/>
        <w:snapToGrid/>
        <w:spacing w:before="0" w:after="0" w:line="360" w:lineRule="auto"/>
        <w:ind w:left="1120" w:leftChars="0" w:right="0" w:rightChars="0" w:hanging="576"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3.3.2</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提前较短时间通知的审核</w:t>
      </w:r>
    </w:p>
    <w:p w14:paraId="41C68396">
      <w:pPr>
        <w:pStyle w:val="16"/>
        <w:keepNext w:val="0"/>
        <w:keepLines w:val="0"/>
        <w:pageBreakBefore w:val="0"/>
        <w:widowControl w:val="0"/>
        <w:kinsoku/>
        <w:wordWrap/>
        <w:overflowPunct/>
        <w:topLinePunct w:val="0"/>
        <w:autoSpaceDE w:val="0"/>
        <w:autoSpaceDN w:val="0"/>
        <w:bidi w:val="0"/>
        <w:adjustRightInd/>
        <w:snapToGrid/>
        <w:spacing w:before="13" w:line="360" w:lineRule="auto"/>
        <w:ind w:right="245" w:firstLine="43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为调查投诉（或不良情况曝光</w:t>
      </w:r>
      <w:r>
        <w:rPr>
          <w:rFonts w:hint="eastAsia" w:ascii="宋体" w:hAnsi="宋体" w:eastAsia="宋体" w:cs="宋体"/>
          <w:color w:val="auto"/>
          <w:spacing w:val="-101"/>
          <w:sz w:val="21"/>
          <w:szCs w:val="21"/>
          <w:highlight w:val="none"/>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突发事件、</w:t>
      </w:r>
      <w:r>
        <w:rPr>
          <w:rFonts w:hint="eastAsia" w:ascii="宋体" w:hAnsi="宋体" w:eastAsia="宋体" w:cs="宋体"/>
          <w:color w:val="auto"/>
          <w:sz w:val="21"/>
          <w:szCs w:val="21"/>
          <w:highlight w:val="none"/>
        </w:rPr>
        <w:t>对变更做出回应或对被暂停的客户进行追踪，可能需要在提前较短时间通知获证客户或在不通知获证客户的情况下对其进行审核。</w:t>
      </w:r>
    </w:p>
    <w:p w14:paraId="030D17B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此时：</w:t>
      </w:r>
    </w:p>
    <w:p w14:paraId="787CE098">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公司应说明并使获证客户提前了解将在何种条件下进行此类审核； </w:t>
      </w:r>
    </w:p>
    <w:p w14:paraId="40A4495B">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由于客户缺乏对审核组成员的任命表示反对的机会，公司应在指派审核组时给予更多的关注。 </w:t>
      </w:r>
    </w:p>
    <w:p w14:paraId="48FA9612">
      <w:pPr>
        <w:pStyle w:val="16"/>
        <w:keepNext w:val="0"/>
        <w:keepLines w:val="0"/>
        <w:pageBreakBefore w:val="0"/>
        <w:widowControl w:val="0"/>
        <w:kinsoku/>
        <w:wordWrap/>
        <w:overflowPunct/>
        <w:topLinePunct w:val="0"/>
        <w:autoSpaceDE w:val="0"/>
        <w:autoSpaceDN w:val="0"/>
        <w:bidi w:val="0"/>
        <w:adjustRightInd/>
        <w:snapToGrid/>
        <w:spacing w:before="13" w:line="360" w:lineRule="auto"/>
        <w:ind w:right="245" w:firstLine="43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获证组织认证范围内的产品在产品质量国家监督抽查中被查出不合格时，自市场监管部门发出通报起30 日内，CHRZ应对该组织实施提前较短时间通知的审核。</w:t>
      </w:r>
    </w:p>
    <w:p w14:paraId="3B20D61D">
      <w:pPr>
        <w:keepNext w:val="0"/>
        <w:keepLines w:val="0"/>
        <w:pageBreakBefore w:val="0"/>
        <w:widowControl w:val="0"/>
        <w:kinsoku/>
        <w:wordWrap/>
        <w:overflowPunct/>
        <w:topLinePunct w:val="0"/>
        <w:autoSpaceDE w:val="0"/>
        <w:autoSpaceDN w:val="0"/>
        <w:bidi w:val="0"/>
        <w:adjustRightInd/>
        <w:snapToGrid/>
        <w:spacing w:before="0" w:line="360" w:lineRule="auto"/>
        <w:ind w:left="544" w:right="0" w:firstLine="0"/>
        <w:jc w:val="left"/>
        <w:textAlignment w:val="auto"/>
        <w:rPr>
          <w:rFonts w:hint="eastAsia" w:ascii="宋体" w:hAnsi="宋体" w:eastAsia="宋体" w:cs="宋体"/>
          <w:b/>
          <w:color w:val="auto"/>
          <w:sz w:val="21"/>
          <w:szCs w:val="21"/>
          <w:highlight w:val="none"/>
        </w:rPr>
      </w:pPr>
      <w:bookmarkStart w:id="12" w:name="_bookmark4"/>
      <w:bookmarkEnd w:id="12"/>
      <w:bookmarkStart w:id="13" w:name="四、获证组织信息通报制度"/>
      <w:bookmarkEnd w:id="13"/>
      <w:r>
        <w:rPr>
          <w:rFonts w:hint="eastAsia" w:ascii="宋体" w:hAnsi="宋体" w:eastAsia="宋体" w:cs="宋体"/>
          <w:b/>
          <w:color w:val="auto"/>
          <w:sz w:val="21"/>
          <w:szCs w:val="21"/>
          <w:highlight w:val="none"/>
        </w:rPr>
        <w:t>四、获证组织信息通报制度</w:t>
      </w:r>
    </w:p>
    <w:p w14:paraId="00FF31AF">
      <w:pPr>
        <w:pStyle w:val="16"/>
        <w:keepNext w:val="0"/>
        <w:keepLines w:val="0"/>
        <w:pageBreakBefore w:val="0"/>
        <w:widowControl w:val="0"/>
        <w:kinsoku/>
        <w:wordWrap/>
        <w:overflowPunct/>
        <w:topLinePunct w:val="0"/>
        <w:autoSpaceDE w:val="0"/>
        <w:autoSpaceDN w:val="0"/>
        <w:bidi w:val="0"/>
        <w:adjustRightInd/>
        <w:snapToGrid/>
        <w:spacing w:before="14" w:line="360" w:lineRule="auto"/>
        <w:ind w:right="248" w:firstLine="43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en-US" w:bidi="ar-SA"/>
        </w:rPr>
        <w:t>通报制度是</w:t>
      </w:r>
      <w:r>
        <w:rPr>
          <w:rFonts w:hint="eastAsia" w:ascii="宋体" w:hAnsi="宋体" w:eastAsia="宋体" w:cs="宋体"/>
          <w:color w:val="auto"/>
          <w:sz w:val="21"/>
          <w:szCs w:val="21"/>
          <w:highlight w:val="none"/>
          <w:lang w:val="en-US" w:eastAsia="zh-CN" w:bidi="ar-SA"/>
        </w:rPr>
        <w:t>春晖国际认证</w:t>
      </w:r>
      <w:r>
        <w:rPr>
          <w:rFonts w:hint="eastAsia" w:ascii="宋体" w:hAnsi="宋体" w:eastAsia="宋体" w:cs="宋体"/>
          <w:color w:val="auto"/>
          <w:sz w:val="21"/>
          <w:szCs w:val="21"/>
          <w:highlight w:val="none"/>
          <w:lang w:val="en-US" w:eastAsia="en-US" w:bidi="ar-SA"/>
        </w:rPr>
        <w:t>与获证组织间进行沟通的一种手段，该制度要求获证组织必须保持与</w:t>
      </w:r>
      <w:r>
        <w:rPr>
          <w:rFonts w:hint="eastAsia" w:ascii="宋体" w:hAnsi="宋体" w:eastAsia="宋体" w:cs="宋体"/>
          <w:color w:val="auto"/>
          <w:sz w:val="21"/>
          <w:szCs w:val="21"/>
          <w:highlight w:val="none"/>
          <w:lang w:val="en-US" w:eastAsia="zh-CN" w:bidi="ar-SA"/>
        </w:rPr>
        <w:t>春晖国际认证</w:t>
      </w:r>
      <w:r>
        <w:rPr>
          <w:rFonts w:hint="eastAsia" w:ascii="宋体" w:hAnsi="宋体" w:eastAsia="宋体" w:cs="宋体"/>
          <w:color w:val="auto"/>
          <w:sz w:val="21"/>
          <w:szCs w:val="21"/>
          <w:highlight w:val="none"/>
          <w:lang w:val="en-US" w:eastAsia="en-US" w:bidi="ar-SA"/>
        </w:rPr>
        <w:t>的联络</w:t>
      </w:r>
      <w:r>
        <w:rPr>
          <w:rFonts w:hint="eastAsia" w:ascii="宋体" w:hAnsi="宋体" w:eastAsia="宋体" w:cs="宋体"/>
          <w:color w:val="auto"/>
          <w:sz w:val="21"/>
          <w:szCs w:val="21"/>
          <w:highlight w:val="none"/>
        </w:rPr>
        <w:t>，以及时反映有关信息。</w:t>
      </w:r>
    </w:p>
    <w:p w14:paraId="4B70E79B">
      <w:pPr>
        <w:pStyle w:val="16"/>
        <w:keepNext w:val="0"/>
        <w:keepLines w:val="0"/>
        <w:pageBreakBefore w:val="0"/>
        <w:widowControl w:val="0"/>
        <w:kinsoku/>
        <w:wordWrap/>
        <w:overflowPunct/>
        <w:topLinePunct w:val="0"/>
        <w:autoSpaceDE w:val="0"/>
        <w:autoSpaceDN w:val="0"/>
        <w:bidi w:val="0"/>
        <w:adjustRightInd/>
        <w:snapToGrid/>
        <w:spacing w:before="2" w:line="360" w:lineRule="auto"/>
        <w:ind w:right="248" w:firstLine="43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当有如下情况时，获证组织应在第一时间使用</w:t>
      </w:r>
      <w:r>
        <w:rPr>
          <w:rFonts w:hint="eastAsia" w:ascii="宋体" w:hAnsi="宋体" w:eastAsia="宋体" w:cs="宋体"/>
          <w:color w:val="auto"/>
          <w:spacing w:val="-4"/>
          <w:sz w:val="21"/>
          <w:szCs w:val="21"/>
          <w:highlight w:val="none"/>
          <w:lang w:eastAsia="zh-CN"/>
        </w:rPr>
        <w:t>《认证信息变更申请表》</w:t>
      </w:r>
      <w:r>
        <w:rPr>
          <w:rFonts w:hint="eastAsia" w:ascii="宋体" w:hAnsi="宋体" w:eastAsia="宋体" w:cs="宋体"/>
          <w:color w:val="auto"/>
          <w:sz w:val="21"/>
          <w:szCs w:val="21"/>
          <w:highlight w:val="none"/>
        </w:rPr>
        <w:t>或其他正式的方式与</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进行联系：</w:t>
      </w:r>
    </w:p>
    <w:p w14:paraId="046D2814">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0" w:after="0" w:line="360" w:lineRule="auto"/>
        <w:ind w:left="107" w:leftChars="0" w:right="245"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w:t>
      </w:r>
      <w:r>
        <w:rPr>
          <w:rFonts w:hint="eastAsia" w:ascii="宋体" w:hAnsi="宋体" w:eastAsia="宋体" w:cs="宋体"/>
          <w:color w:val="auto"/>
          <w:sz w:val="21"/>
          <w:szCs w:val="21"/>
          <w:highlight w:val="none"/>
        </w:rPr>
        <w:t>引发或不引发生产/服务提供活动所在物理地址变更的：获证组织注册名称变更、注册地址称呼变更/ 生产地址场所变更；</w:t>
      </w:r>
    </w:p>
    <w:p w14:paraId="6F4CEA13">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0"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2)</w:t>
      </w:r>
      <w:r>
        <w:rPr>
          <w:rFonts w:hint="eastAsia" w:ascii="宋体" w:hAnsi="宋体" w:eastAsia="宋体" w:cs="宋体"/>
          <w:color w:val="auto"/>
          <w:sz w:val="21"/>
          <w:szCs w:val="21"/>
          <w:highlight w:val="none"/>
        </w:rPr>
        <w:t>管理体系覆盖的产品/服务范围变更；</w:t>
      </w:r>
    </w:p>
    <w:p w14:paraId="3A21AA56">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5"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3)</w:t>
      </w:r>
      <w:r>
        <w:rPr>
          <w:rFonts w:hint="eastAsia" w:ascii="宋体" w:hAnsi="宋体" w:eastAsia="宋体" w:cs="宋体"/>
          <w:color w:val="auto"/>
          <w:sz w:val="21"/>
          <w:szCs w:val="21"/>
          <w:highlight w:val="none"/>
        </w:rPr>
        <w:t>行政许可资格、强制性认证或其他资质证书到期；</w:t>
      </w:r>
    </w:p>
    <w:p w14:paraId="6CE60615">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4"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4)</w:t>
      </w:r>
      <w:r>
        <w:rPr>
          <w:rFonts w:hint="eastAsia" w:ascii="宋体" w:hAnsi="宋体" w:eastAsia="宋体" w:cs="宋体"/>
          <w:color w:val="auto"/>
          <w:sz w:val="21"/>
          <w:szCs w:val="21"/>
          <w:highlight w:val="none"/>
        </w:rPr>
        <w:t>从业人力资源、基础设施、组织机构、管理体系过程模式、经营状况发生重大本质性变更；</w:t>
      </w:r>
    </w:p>
    <w:p w14:paraId="274F8513">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4"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5)</w:t>
      </w:r>
      <w:r>
        <w:rPr>
          <w:rFonts w:hint="eastAsia" w:ascii="宋体" w:hAnsi="宋体" w:eastAsia="宋体" w:cs="宋体"/>
          <w:color w:val="auto"/>
          <w:sz w:val="21"/>
          <w:szCs w:val="21"/>
          <w:highlight w:val="none"/>
        </w:rPr>
        <w:t>部分主要人员变更，例如：法定代表人、最高管理者变更等；</w:t>
      </w:r>
    </w:p>
    <w:p w14:paraId="1D2772FF">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1"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6)</w:t>
      </w:r>
      <w:r>
        <w:rPr>
          <w:rFonts w:hint="eastAsia" w:ascii="宋体" w:hAnsi="宋体" w:eastAsia="宋体" w:cs="宋体"/>
          <w:color w:val="auto"/>
          <w:sz w:val="21"/>
          <w:szCs w:val="21"/>
          <w:highlight w:val="none"/>
        </w:rPr>
        <w:t>法律地位或所有权变更；</w:t>
      </w:r>
    </w:p>
    <w:p w14:paraId="0C57B54D">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4"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7)</w:t>
      </w:r>
      <w:r>
        <w:rPr>
          <w:rFonts w:hint="eastAsia" w:ascii="宋体" w:hAnsi="宋体" w:eastAsia="宋体" w:cs="宋体"/>
          <w:color w:val="auto"/>
          <w:sz w:val="21"/>
          <w:szCs w:val="21"/>
          <w:highlight w:val="none"/>
        </w:rPr>
        <w:t>其他影响管理体系运行的变更情况，如产品工艺环境重大变化信息；</w:t>
      </w:r>
    </w:p>
    <w:p w14:paraId="0DEADE8F">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3"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8)</w:t>
      </w:r>
      <w:r>
        <w:rPr>
          <w:rFonts w:hint="eastAsia" w:ascii="宋体" w:hAnsi="宋体" w:eastAsia="宋体" w:cs="宋体"/>
          <w:color w:val="auto"/>
          <w:sz w:val="21"/>
          <w:szCs w:val="21"/>
          <w:highlight w:val="none"/>
        </w:rPr>
        <w:t>其他不影响管理体系运行的变更情况，例如：组织机构代码变更为统一社会信用代码；</w:t>
      </w:r>
    </w:p>
    <w:p w14:paraId="4FFA6194">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2"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9)</w:t>
      </w:r>
      <w:r>
        <w:rPr>
          <w:rFonts w:hint="eastAsia" w:ascii="宋体" w:hAnsi="宋体" w:eastAsia="宋体" w:cs="宋体"/>
          <w:color w:val="auto"/>
          <w:sz w:val="21"/>
          <w:szCs w:val="21"/>
          <w:highlight w:val="none"/>
        </w:rPr>
        <w:t>停业或关闭、被注销或撤销法律地位证明文件；</w:t>
      </w:r>
    </w:p>
    <w:p w14:paraId="44B6200D">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13"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10)</w:t>
      </w:r>
      <w:r>
        <w:rPr>
          <w:rFonts w:hint="eastAsia" w:ascii="宋体" w:hAnsi="宋体" w:eastAsia="宋体" w:cs="宋体"/>
          <w:color w:val="auto"/>
          <w:sz w:val="21"/>
          <w:szCs w:val="21"/>
          <w:highlight w:val="none"/>
        </w:rPr>
        <w:t>被列入质量信用严重失信企业名单；</w:t>
      </w:r>
    </w:p>
    <w:p w14:paraId="367DFF22">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14"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11)</w:t>
      </w:r>
      <w:r>
        <w:rPr>
          <w:rFonts w:hint="eastAsia" w:ascii="宋体" w:hAnsi="宋体" w:eastAsia="宋体" w:cs="宋体"/>
          <w:color w:val="auto"/>
          <w:sz w:val="21"/>
          <w:szCs w:val="21"/>
          <w:highlight w:val="none"/>
        </w:rPr>
        <w:t>被政府列入“严重违法企业名单”</w:t>
      </w:r>
      <w:r>
        <w:rPr>
          <w:rFonts w:hint="eastAsia" w:ascii="宋体" w:hAnsi="宋体" w:eastAsia="宋体" w:cs="宋体"/>
          <w:color w:val="auto"/>
          <w:spacing w:val="-8"/>
          <w:w w:val="99"/>
          <w:sz w:val="21"/>
          <w:szCs w:val="21"/>
          <w:highlight w:val="none"/>
        </w:rPr>
        <w:t>；</w:t>
      </w:r>
    </w:p>
    <w:p w14:paraId="4D664A56">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11" w:after="0" w:line="360" w:lineRule="auto"/>
        <w:ind w:left="107" w:leftChars="0" w:right="247"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12)</w:t>
      </w:r>
      <w:r>
        <w:rPr>
          <w:rFonts w:hint="eastAsia" w:ascii="宋体" w:hAnsi="宋体" w:eastAsia="宋体" w:cs="宋体"/>
          <w:color w:val="auto"/>
          <w:sz w:val="21"/>
          <w:szCs w:val="21"/>
          <w:highlight w:val="none"/>
        </w:rPr>
        <w:t>出现重大的产品和服务等质量安全、环境、生产安全卫生事故，经执法监管部门确认是获证组织违规造成；</w:t>
      </w:r>
    </w:p>
    <w:p w14:paraId="1909ACD0">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0"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13)</w:t>
      </w:r>
      <w:r>
        <w:rPr>
          <w:rFonts w:hint="eastAsia" w:ascii="宋体" w:hAnsi="宋体" w:eastAsia="宋体" w:cs="宋体"/>
          <w:color w:val="auto"/>
          <w:sz w:val="21"/>
          <w:szCs w:val="21"/>
          <w:highlight w:val="none"/>
        </w:rPr>
        <w:t>有其他质量、食药、环境、安全卫生严重违反法律法规行为，被有关执法监管部门责令停业整顿；</w:t>
      </w:r>
    </w:p>
    <w:p w14:paraId="2799D057">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12"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14)</w:t>
      </w:r>
      <w:r>
        <w:rPr>
          <w:rFonts w:hint="eastAsia" w:ascii="宋体" w:hAnsi="宋体" w:eastAsia="宋体" w:cs="宋体"/>
          <w:color w:val="auto"/>
          <w:sz w:val="21"/>
          <w:szCs w:val="21"/>
          <w:highlight w:val="none"/>
        </w:rPr>
        <w:t>有其他质量、食药、环境、安全卫生违反法律法规行为，被有关执法监管部门行政处罚；</w:t>
      </w:r>
    </w:p>
    <w:p w14:paraId="5AC95E4E">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13"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15)</w:t>
      </w:r>
      <w:r>
        <w:rPr>
          <w:rFonts w:hint="eastAsia" w:ascii="宋体" w:hAnsi="宋体" w:eastAsia="宋体" w:cs="宋体"/>
          <w:color w:val="auto"/>
          <w:sz w:val="21"/>
          <w:szCs w:val="21"/>
          <w:highlight w:val="none"/>
        </w:rPr>
        <w:t>相关方重大投诉/媒体重大曝光；</w:t>
      </w:r>
    </w:p>
    <w:p w14:paraId="60785D97">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14"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16)</w:t>
      </w:r>
      <w:r>
        <w:rPr>
          <w:rFonts w:hint="eastAsia" w:ascii="宋体" w:hAnsi="宋体" w:eastAsia="宋体" w:cs="宋体"/>
          <w:color w:val="auto"/>
          <w:sz w:val="21"/>
          <w:szCs w:val="21"/>
          <w:highlight w:val="none"/>
        </w:rPr>
        <w:t>生产、销售的产品或提供的服务被质量或市场监管部门认定不合格。</w:t>
      </w:r>
    </w:p>
    <w:p w14:paraId="4C158E5B">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11"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17)</w:t>
      </w:r>
      <w:r>
        <w:rPr>
          <w:rFonts w:hint="eastAsia" w:ascii="宋体" w:hAnsi="宋体" w:eastAsia="宋体" w:cs="宋体"/>
          <w:color w:val="auto"/>
          <w:sz w:val="21"/>
          <w:szCs w:val="21"/>
          <w:highlight w:val="none"/>
        </w:rPr>
        <w:t>出口的产品因安全卫生方面的问题被进口国（地区）主管当局通报的。</w:t>
      </w:r>
    </w:p>
    <w:p w14:paraId="3CA74414">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18"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18)</w:t>
      </w:r>
      <w:r>
        <w:rPr>
          <w:rFonts w:hint="eastAsia" w:ascii="宋体" w:hAnsi="宋体" w:eastAsia="宋体" w:cs="宋体"/>
          <w:color w:val="auto"/>
          <w:sz w:val="21"/>
          <w:szCs w:val="21"/>
          <w:highlight w:val="none"/>
        </w:rPr>
        <w:t>所在发生有关重大动植物疫情的情况。</w:t>
      </w:r>
    </w:p>
    <w:p w14:paraId="723EBFCD">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11"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19)</w:t>
      </w:r>
      <w:r>
        <w:rPr>
          <w:rFonts w:hint="eastAsia" w:ascii="宋体" w:hAnsi="宋体" w:eastAsia="宋体" w:cs="宋体"/>
          <w:color w:val="auto"/>
          <w:sz w:val="21"/>
          <w:szCs w:val="21"/>
          <w:highlight w:val="none"/>
        </w:rPr>
        <w:t>不合格品召回/撤回及处理情况。</w:t>
      </w:r>
    </w:p>
    <w:p w14:paraId="338CE8CB">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14"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20)</w:t>
      </w:r>
      <w:r>
        <w:rPr>
          <w:rFonts w:hint="eastAsia" w:ascii="宋体" w:hAnsi="宋体" w:eastAsia="宋体" w:cs="宋体"/>
          <w:color w:val="auto"/>
          <w:sz w:val="21"/>
          <w:szCs w:val="21"/>
          <w:highlight w:val="none"/>
        </w:rPr>
        <w:t>其他重要信息。</w:t>
      </w:r>
    </w:p>
    <w:p w14:paraId="00B89BB6">
      <w:pPr>
        <w:pStyle w:val="16"/>
        <w:keepNext w:val="0"/>
        <w:keepLines w:val="0"/>
        <w:pageBreakBefore w:val="0"/>
        <w:widowControl w:val="0"/>
        <w:kinsoku/>
        <w:wordWrap/>
        <w:overflowPunct/>
        <w:topLinePunct w:val="0"/>
        <w:autoSpaceDE w:val="0"/>
        <w:autoSpaceDN w:val="0"/>
        <w:bidi w:val="0"/>
        <w:adjustRightInd/>
        <w:snapToGrid/>
        <w:spacing w:before="14" w:line="360" w:lineRule="auto"/>
        <w:ind w:right="248" w:firstLine="43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en-US" w:bidi="ar-SA"/>
        </w:rPr>
        <w:t>总体来说，可能影响到管理体系运行及其有效性的信息，都应在通报的范围之内。</w:t>
      </w:r>
      <w:r>
        <w:rPr>
          <w:rFonts w:hint="eastAsia" w:ascii="宋体" w:hAnsi="宋体" w:eastAsia="宋体" w:cs="宋体"/>
          <w:color w:val="auto"/>
          <w:sz w:val="21"/>
          <w:szCs w:val="21"/>
          <w:highlight w:val="none"/>
          <w:lang w:val="en-US" w:eastAsia="zh-CN" w:bidi="ar-SA"/>
        </w:rPr>
        <w:t>春晖国际认证</w:t>
      </w:r>
      <w:r>
        <w:rPr>
          <w:rFonts w:hint="eastAsia" w:ascii="宋体" w:hAnsi="宋体" w:eastAsia="宋体" w:cs="宋体"/>
          <w:color w:val="auto"/>
          <w:sz w:val="21"/>
          <w:szCs w:val="21"/>
          <w:highlight w:val="none"/>
          <w:lang w:val="en-US" w:eastAsia="en-US" w:bidi="ar-SA"/>
        </w:rPr>
        <w:t>将根据有关规</w:t>
      </w:r>
      <w:r>
        <w:rPr>
          <w:rFonts w:hint="eastAsia" w:ascii="宋体" w:hAnsi="宋体" w:eastAsia="宋体" w:cs="宋体"/>
          <w:color w:val="auto"/>
          <w:sz w:val="21"/>
          <w:szCs w:val="21"/>
          <w:highlight w:val="none"/>
        </w:rPr>
        <w:t>则对获证组织的变更和信息进行分析和处理。</w:t>
      </w:r>
    </w:p>
    <w:p w14:paraId="526CA50F">
      <w:pPr>
        <w:pStyle w:val="16"/>
        <w:keepNext w:val="0"/>
        <w:keepLines w:val="0"/>
        <w:pageBreakBefore w:val="0"/>
        <w:widowControl w:val="0"/>
        <w:kinsoku/>
        <w:wordWrap/>
        <w:overflowPunct/>
        <w:topLinePunct w:val="0"/>
        <w:autoSpaceDE w:val="0"/>
        <w:autoSpaceDN w:val="0"/>
        <w:bidi w:val="0"/>
        <w:adjustRightInd/>
        <w:snapToGrid/>
        <w:spacing w:before="1" w:line="360" w:lineRule="auto"/>
        <w:ind w:left="544" w:firstLine="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书面报告的内容包括情况说明、原因，已采取或拟采取的必要措施及效果等。</w:t>
      </w:r>
    </w:p>
    <w:p w14:paraId="23FB44B8">
      <w:pPr>
        <w:keepNext w:val="0"/>
        <w:keepLines w:val="0"/>
        <w:pageBreakBefore w:val="0"/>
        <w:widowControl w:val="0"/>
        <w:kinsoku/>
        <w:wordWrap/>
        <w:overflowPunct/>
        <w:topLinePunct w:val="0"/>
        <w:autoSpaceDE w:val="0"/>
        <w:autoSpaceDN w:val="0"/>
        <w:bidi w:val="0"/>
        <w:adjustRightInd/>
        <w:snapToGrid/>
        <w:spacing w:before="0" w:line="360" w:lineRule="auto"/>
        <w:ind w:left="544" w:right="0" w:firstLine="0"/>
        <w:jc w:val="left"/>
        <w:textAlignment w:val="auto"/>
        <w:rPr>
          <w:rFonts w:hint="eastAsia" w:ascii="宋体" w:hAnsi="宋体" w:eastAsia="宋体" w:cs="宋体"/>
          <w:b/>
          <w:color w:val="auto"/>
          <w:sz w:val="21"/>
          <w:szCs w:val="21"/>
          <w:highlight w:val="none"/>
        </w:rPr>
      </w:pPr>
      <w:bookmarkStart w:id="14" w:name="_bookmark5"/>
      <w:bookmarkEnd w:id="14"/>
      <w:bookmarkStart w:id="15" w:name="五、保持认证注册的条件"/>
      <w:bookmarkEnd w:id="15"/>
      <w:r>
        <w:rPr>
          <w:rFonts w:hint="eastAsia" w:ascii="宋体" w:hAnsi="宋体" w:eastAsia="宋体" w:cs="宋体"/>
          <w:b/>
          <w:color w:val="auto"/>
          <w:sz w:val="21"/>
          <w:szCs w:val="21"/>
          <w:highlight w:val="none"/>
        </w:rPr>
        <w:t>五、保持认证注册的条件</w:t>
      </w:r>
    </w:p>
    <w:p w14:paraId="300465B5">
      <w:pPr>
        <w:pStyle w:val="16"/>
        <w:keepNext w:val="0"/>
        <w:keepLines w:val="0"/>
        <w:pageBreakBefore w:val="0"/>
        <w:widowControl w:val="0"/>
        <w:kinsoku/>
        <w:wordWrap/>
        <w:overflowPunct/>
        <w:topLinePunct w:val="0"/>
        <w:autoSpaceDE w:val="0"/>
        <w:autoSpaceDN w:val="0"/>
        <w:bidi w:val="0"/>
        <w:adjustRightInd/>
        <w:snapToGrid/>
        <w:spacing w:before="14" w:line="360" w:lineRule="auto"/>
        <w:ind w:left="544" w:firstLine="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获证组织应在不出现本文第九条所述情况的条件下方可保持认证注册。</w:t>
      </w:r>
    </w:p>
    <w:p w14:paraId="6917E731">
      <w:pPr>
        <w:keepNext w:val="0"/>
        <w:keepLines w:val="0"/>
        <w:pageBreakBefore w:val="0"/>
        <w:widowControl w:val="0"/>
        <w:kinsoku/>
        <w:wordWrap/>
        <w:overflowPunct/>
        <w:topLinePunct w:val="0"/>
        <w:autoSpaceDE w:val="0"/>
        <w:autoSpaceDN w:val="0"/>
        <w:bidi w:val="0"/>
        <w:adjustRightInd/>
        <w:snapToGrid/>
        <w:spacing w:before="0" w:line="360" w:lineRule="auto"/>
        <w:ind w:left="544" w:right="0" w:firstLine="0"/>
        <w:jc w:val="left"/>
        <w:textAlignment w:val="auto"/>
        <w:rPr>
          <w:rFonts w:hint="eastAsia" w:ascii="宋体" w:hAnsi="宋体" w:eastAsia="宋体" w:cs="宋体"/>
          <w:b/>
          <w:color w:val="auto"/>
          <w:sz w:val="21"/>
          <w:szCs w:val="21"/>
          <w:highlight w:val="none"/>
        </w:rPr>
      </w:pPr>
      <w:bookmarkStart w:id="16" w:name="_bookmark6"/>
      <w:bookmarkEnd w:id="16"/>
      <w:bookmarkStart w:id="17" w:name="六、投诉／申诉／争议"/>
      <w:bookmarkEnd w:id="17"/>
      <w:r>
        <w:rPr>
          <w:rFonts w:hint="eastAsia" w:ascii="宋体" w:hAnsi="宋体" w:eastAsia="宋体" w:cs="宋体"/>
          <w:b/>
          <w:color w:val="auto"/>
          <w:sz w:val="21"/>
          <w:szCs w:val="21"/>
          <w:highlight w:val="none"/>
        </w:rPr>
        <w:t>六、投诉／申诉／争议</w:t>
      </w:r>
    </w:p>
    <w:p w14:paraId="3C4D41A8">
      <w:pPr>
        <w:pStyle w:val="16"/>
        <w:keepNext w:val="0"/>
        <w:keepLines w:val="0"/>
        <w:pageBreakBefore w:val="0"/>
        <w:widowControl w:val="0"/>
        <w:kinsoku/>
        <w:wordWrap/>
        <w:overflowPunct/>
        <w:topLinePunct w:val="0"/>
        <w:autoSpaceDE w:val="0"/>
        <w:autoSpaceDN w:val="0"/>
        <w:bidi w:val="0"/>
        <w:adjustRightInd/>
        <w:snapToGrid/>
        <w:spacing w:line="360" w:lineRule="auto"/>
        <w:ind w:left="544" w:firstLine="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处理申诉、投诉和争议应以事实为依据，以国家相关法律法规及认可规范为准则。</w:t>
      </w:r>
    </w:p>
    <w:p w14:paraId="146582B4">
      <w:pPr>
        <w:pStyle w:val="16"/>
        <w:keepNext w:val="0"/>
        <w:keepLines w:val="0"/>
        <w:pageBreakBefore w:val="0"/>
        <w:widowControl w:val="0"/>
        <w:kinsoku/>
        <w:wordWrap/>
        <w:overflowPunct/>
        <w:topLinePunct w:val="0"/>
        <w:autoSpaceDE w:val="0"/>
        <w:autoSpaceDN w:val="0"/>
        <w:bidi w:val="0"/>
        <w:adjustRightInd/>
        <w:snapToGrid/>
        <w:spacing w:before="14" w:line="360" w:lineRule="auto"/>
        <w:ind w:right="245" w:firstLine="436"/>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对投诉、申诉和争议进行适当处理将维护对认证活动的信任。春晖国际认证应当使依赖认证的各方相信，在经查明</w:t>
      </w:r>
      <w:r>
        <w:rPr>
          <w:rFonts w:hint="eastAsia" w:ascii="宋体" w:hAnsi="宋体" w:eastAsia="宋体" w:cs="宋体"/>
          <w:color w:val="auto"/>
          <w:sz w:val="21"/>
          <w:szCs w:val="21"/>
          <w:highlight w:val="none"/>
        </w:rPr>
        <w:t>后，</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将对投诉、申诉和争议进行适当的处理，并为解决投诉、申诉和争议做出适当的努力。当投诉、申诉和争议表明出现错误、疏忽或不合理行为时，对投诉、申诉和争议做出有效回应是保护获证组织和其他认证使用方的重要手段。</w:t>
      </w:r>
    </w:p>
    <w:p w14:paraId="6A335C45">
      <w:pPr>
        <w:pStyle w:val="16"/>
        <w:keepNext w:val="0"/>
        <w:keepLines w:val="0"/>
        <w:pageBreakBefore w:val="0"/>
        <w:widowControl w:val="0"/>
        <w:kinsoku/>
        <w:wordWrap/>
        <w:overflowPunct/>
        <w:topLinePunct w:val="0"/>
        <w:autoSpaceDE w:val="0"/>
        <w:autoSpaceDN w:val="0"/>
        <w:bidi w:val="0"/>
        <w:adjustRightInd/>
        <w:snapToGrid/>
        <w:spacing w:before="4" w:line="360" w:lineRule="auto"/>
        <w:ind w:right="141" w:firstLine="436"/>
        <w:jc w:val="both"/>
        <w:textAlignment w:val="auto"/>
        <w:rPr>
          <w:rFonts w:hint="eastAsia" w:ascii="宋体" w:hAnsi="宋体" w:eastAsia="宋体" w:cs="宋体"/>
          <w:color w:val="auto"/>
          <w:spacing w:val="-5"/>
          <w:sz w:val="21"/>
          <w:szCs w:val="21"/>
          <w:highlight w:val="none"/>
        </w:rPr>
      </w:pPr>
      <w:r>
        <w:rPr>
          <w:rFonts w:hint="eastAsia" w:ascii="宋体" w:hAnsi="宋体" w:eastAsia="宋体" w:cs="宋体"/>
          <w:color w:val="auto"/>
          <w:sz w:val="21"/>
          <w:szCs w:val="21"/>
          <w:highlight w:val="none"/>
        </w:rPr>
        <w:t>参与受理和评价投诉、申诉和争议并对之做出决定的过程的人员，对于该过程涉及申诉人/投诉人和投诉、申诉和争议事项的方面应满足保密要求。参与申诉、投诉、争议处理工作的所有工作人员，均应保持客观公正。</w:t>
      </w:r>
      <w:r>
        <w:rPr>
          <w:rFonts w:hint="eastAsia" w:ascii="宋体" w:hAnsi="宋体" w:eastAsia="宋体" w:cs="宋体"/>
          <w:color w:val="auto"/>
          <w:spacing w:val="-5"/>
          <w:sz w:val="21"/>
          <w:szCs w:val="21"/>
          <w:highlight w:val="none"/>
        </w:rPr>
        <w:t>与申诉、投诉、争议有直接利害关系的工作人员，均应回避相关处理工作。</w:t>
      </w:r>
    </w:p>
    <w:p w14:paraId="09907016">
      <w:pPr>
        <w:pStyle w:val="81"/>
        <w:numPr>
          <w:ilvl w:val="1"/>
          <w:numId w:val="0"/>
        </w:numPr>
        <w:tabs>
          <w:tab w:val="left" w:pos="892"/>
        </w:tabs>
        <w:spacing w:before="52" w:after="0" w:line="240" w:lineRule="auto"/>
        <w:ind w:left="892" w:leftChars="0" w:right="0" w:rightChars="0" w:hanging="348"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6.1</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申诉的处理</w:t>
      </w:r>
    </w:p>
    <w:p w14:paraId="2A51F1B8">
      <w:pPr>
        <w:pStyle w:val="81"/>
        <w:keepNext w:val="0"/>
        <w:keepLines w:val="0"/>
        <w:pageBreakBefore w:val="0"/>
        <w:widowControl w:val="0"/>
        <w:numPr>
          <w:ilvl w:val="2"/>
          <w:numId w:val="0"/>
        </w:numPr>
        <w:tabs>
          <w:tab w:val="left" w:pos="1070"/>
        </w:tabs>
        <w:kinsoku/>
        <w:wordWrap/>
        <w:overflowPunct/>
        <w:topLinePunct w:val="0"/>
        <w:autoSpaceDE w:val="0"/>
        <w:autoSpaceDN w:val="0"/>
        <w:bidi w:val="0"/>
        <w:adjustRightInd/>
        <w:snapToGrid/>
        <w:spacing w:before="14" w:after="0" w:line="360" w:lineRule="auto"/>
        <w:ind w:left="107" w:leftChars="0" w:right="248"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6.1.1</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申诉是指申请方或获证组织对</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做出的、与其期望的认证状态有关的不利决定所提出的重新考虑的书面请求。</w:t>
      </w:r>
    </w:p>
    <w:p w14:paraId="7A0C3ED7">
      <w:pPr>
        <w:pStyle w:val="16"/>
        <w:keepNext w:val="0"/>
        <w:keepLines w:val="0"/>
        <w:pageBreakBefore w:val="0"/>
        <w:widowControl w:val="0"/>
        <w:kinsoku/>
        <w:wordWrap/>
        <w:overflowPunct/>
        <w:topLinePunct w:val="0"/>
        <w:autoSpaceDE w:val="0"/>
        <w:autoSpaceDN w:val="0"/>
        <w:bidi w:val="0"/>
        <w:adjustRightInd/>
        <w:snapToGrid/>
        <w:spacing w:line="360" w:lineRule="auto"/>
        <w:ind w:right="243" w:firstLine="43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注：不利决定包括：拒绝接受申请、拒绝继续进行审核，要求采取纠正措施，变更认证范围，不予认证，暂停或撤销认证、阻碍获得认证的任何其他措施。</w:t>
      </w:r>
    </w:p>
    <w:p w14:paraId="27080881">
      <w:pPr>
        <w:pStyle w:val="81"/>
        <w:keepNext w:val="0"/>
        <w:keepLines w:val="0"/>
        <w:pageBreakBefore w:val="0"/>
        <w:widowControl w:val="0"/>
        <w:numPr>
          <w:ilvl w:val="2"/>
          <w:numId w:val="0"/>
        </w:numPr>
        <w:tabs>
          <w:tab w:val="left" w:pos="1120"/>
        </w:tabs>
        <w:kinsoku/>
        <w:wordWrap/>
        <w:overflowPunct/>
        <w:topLinePunct w:val="0"/>
        <w:autoSpaceDE w:val="0"/>
        <w:autoSpaceDN w:val="0"/>
        <w:bidi w:val="0"/>
        <w:adjustRightInd/>
        <w:snapToGrid/>
        <w:spacing w:before="0" w:after="0" w:line="360" w:lineRule="auto"/>
        <w:ind w:left="1120" w:leftChars="0" w:right="0" w:rightChars="0" w:hanging="576"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6.1.2</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申诉受理的范围</w:t>
      </w:r>
    </w:p>
    <w:p w14:paraId="48D15851">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0"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w:t>
      </w:r>
      <w:r>
        <w:rPr>
          <w:rFonts w:hint="eastAsia" w:ascii="宋体" w:hAnsi="宋体" w:eastAsia="宋体" w:cs="宋体"/>
          <w:color w:val="auto"/>
          <w:sz w:val="21"/>
          <w:szCs w:val="21"/>
          <w:highlight w:val="none"/>
        </w:rPr>
        <w:t>拒绝接受申请；</w:t>
      </w:r>
    </w:p>
    <w:p w14:paraId="2F266D29">
      <w:pPr>
        <w:pStyle w:val="81"/>
        <w:keepNext w:val="0"/>
        <w:keepLines w:val="0"/>
        <w:pageBreakBefore w:val="0"/>
        <w:widowControl w:val="0"/>
        <w:numPr>
          <w:ilvl w:val="2"/>
          <w:numId w:val="0"/>
        </w:numPr>
        <w:tabs>
          <w:tab w:val="left" w:pos="1120"/>
        </w:tabs>
        <w:kinsoku/>
        <w:wordWrap/>
        <w:overflowPunct/>
        <w:topLinePunct w:val="0"/>
        <w:autoSpaceDE w:val="0"/>
        <w:autoSpaceDN w:val="0"/>
        <w:bidi w:val="0"/>
        <w:adjustRightInd/>
        <w:snapToGrid/>
        <w:spacing w:before="0" w:after="0" w:line="360" w:lineRule="auto"/>
        <w:ind w:left="1120" w:leftChars="0" w:right="0" w:rightChars="0" w:hanging="576"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zh-CN" w:bidi="ar-SA"/>
        </w:rPr>
        <w:t>2</w:t>
      </w:r>
      <w:r>
        <w:rPr>
          <w:rFonts w:hint="eastAsia" w:ascii="宋体" w:hAnsi="宋体" w:eastAsia="宋体" w:cs="宋体"/>
          <w:color w:val="auto"/>
          <w:spacing w:val="-1"/>
          <w:w w:val="99"/>
          <w:sz w:val="21"/>
          <w:szCs w:val="21"/>
          <w:highlight w:val="none"/>
          <w:lang w:val="en-US" w:eastAsia="en-US" w:bidi="ar-SA"/>
        </w:rPr>
        <w:t>)</w:t>
      </w:r>
      <w:r>
        <w:rPr>
          <w:rFonts w:hint="eastAsia" w:ascii="宋体" w:hAnsi="宋体" w:eastAsia="宋体" w:cs="宋体"/>
          <w:color w:val="auto"/>
          <w:sz w:val="21"/>
          <w:szCs w:val="21"/>
          <w:highlight w:val="none"/>
        </w:rPr>
        <w:t>拒绝继续进行审核；</w:t>
      </w:r>
    </w:p>
    <w:p w14:paraId="275725FF">
      <w:pPr>
        <w:pStyle w:val="81"/>
        <w:keepNext w:val="0"/>
        <w:keepLines w:val="0"/>
        <w:pageBreakBefore w:val="0"/>
        <w:widowControl w:val="0"/>
        <w:numPr>
          <w:ilvl w:val="2"/>
          <w:numId w:val="0"/>
        </w:numPr>
        <w:tabs>
          <w:tab w:val="left" w:pos="1120"/>
        </w:tabs>
        <w:kinsoku/>
        <w:wordWrap/>
        <w:overflowPunct/>
        <w:topLinePunct w:val="0"/>
        <w:autoSpaceDE w:val="0"/>
        <w:autoSpaceDN w:val="0"/>
        <w:bidi w:val="0"/>
        <w:adjustRightInd/>
        <w:snapToGrid/>
        <w:spacing w:before="0" w:after="0" w:line="360" w:lineRule="auto"/>
        <w:ind w:left="1120" w:leftChars="0" w:right="0" w:rightChars="0" w:hanging="576"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zh-CN" w:bidi="ar-SA"/>
        </w:rPr>
        <w:t>3</w:t>
      </w:r>
      <w:r>
        <w:rPr>
          <w:rFonts w:hint="eastAsia" w:ascii="宋体" w:hAnsi="宋体" w:eastAsia="宋体" w:cs="宋体"/>
          <w:color w:val="auto"/>
          <w:spacing w:val="-1"/>
          <w:w w:val="99"/>
          <w:sz w:val="21"/>
          <w:szCs w:val="21"/>
          <w:highlight w:val="none"/>
          <w:lang w:val="en-US" w:eastAsia="en-US" w:bidi="ar-SA"/>
        </w:rPr>
        <w:t>)</w:t>
      </w:r>
      <w:r>
        <w:rPr>
          <w:rFonts w:hint="eastAsia" w:ascii="宋体" w:hAnsi="宋体" w:eastAsia="宋体" w:cs="宋体"/>
          <w:color w:val="auto"/>
          <w:sz w:val="21"/>
          <w:szCs w:val="21"/>
          <w:highlight w:val="none"/>
        </w:rPr>
        <w:t>要求采取纠正措施；</w:t>
      </w:r>
    </w:p>
    <w:p w14:paraId="0DBED5B1">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2"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zh-CN" w:bidi="ar-SA"/>
        </w:rPr>
        <w:t>4</w:t>
      </w:r>
      <w:r>
        <w:rPr>
          <w:rFonts w:hint="eastAsia" w:ascii="宋体" w:hAnsi="宋体" w:eastAsia="宋体" w:cs="宋体"/>
          <w:color w:val="auto"/>
          <w:spacing w:val="-1"/>
          <w:w w:val="99"/>
          <w:sz w:val="21"/>
          <w:szCs w:val="21"/>
          <w:highlight w:val="none"/>
          <w:lang w:val="en-US" w:eastAsia="en-US" w:bidi="ar-SA"/>
        </w:rPr>
        <w:t>)</w:t>
      </w:r>
      <w:r>
        <w:rPr>
          <w:rFonts w:hint="eastAsia" w:ascii="宋体" w:hAnsi="宋体" w:eastAsia="宋体" w:cs="宋体"/>
          <w:color w:val="auto"/>
          <w:sz w:val="21"/>
          <w:szCs w:val="21"/>
          <w:highlight w:val="none"/>
        </w:rPr>
        <w:t>变更认证范围；</w:t>
      </w:r>
    </w:p>
    <w:p w14:paraId="069C63B9">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3"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zh-CN" w:bidi="ar-SA"/>
        </w:rPr>
        <w:t>5</w:t>
      </w:r>
      <w:r>
        <w:rPr>
          <w:rFonts w:hint="eastAsia" w:ascii="宋体" w:hAnsi="宋体" w:eastAsia="宋体" w:cs="宋体"/>
          <w:color w:val="auto"/>
          <w:spacing w:val="-1"/>
          <w:w w:val="99"/>
          <w:sz w:val="21"/>
          <w:szCs w:val="21"/>
          <w:highlight w:val="none"/>
          <w:lang w:val="en-US" w:eastAsia="en-US" w:bidi="ar-SA"/>
        </w:rPr>
        <w:t>)</w:t>
      </w:r>
      <w:r>
        <w:rPr>
          <w:rFonts w:hint="eastAsia" w:ascii="宋体" w:hAnsi="宋体" w:eastAsia="宋体" w:cs="宋体"/>
          <w:color w:val="auto"/>
          <w:sz w:val="21"/>
          <w:szCs w:val="21"/>
          <w:highlight w:val="none"/>
        </w:rPr>
        <w:t>不予认证，暂停或撤销认证；</w:t>
      </w:r>
    </w:p>
    <w:p w14:paraId="14EF2E75">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4"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zh-CN" w:bidi="ar-SA"/>
        </w:rPr>
        <w:t>6</w:t>
      </w:r>
      <w:r>
        <w:rPr>
          <w:rFonts w:hint="eastAsia" w:ascii="宋体" w:hAnsi="宋体" w:eastAsia="宋体" w:cs="宋体"/>
          <w:color w:val="auto"/>
          <w:spacing w:val="-1"/>
          <w:w w:val="99"/>
          <w:sz w:val="21"/>
          <w:szCs w:val="21"/>
          <w:highlight w:val="none"/>
          <w:lang w:val="en-US" w:eastAsia="en-US" w:bidi="ar-SA"/>
        </w:rPr>
        <w:t>)</w:t>
      </w:r>
      <w:r>
        <w:rPr>
          <w:rFonts w:hint="eastAsia" w:ascii="宋体" w:hAnsi="宋体" w:eastAsia="宋体" w:cs="宋体"/>
          <w:color w:val="auto"/>
          <w:sz w:val="21"/>
          <w:szCs w:val="21"/>
          <w:highlight w:val="none"/>
        </w:rPr>
        <w:t>阻碍获得认证的任何其他措施。</w:t>
      </w:r>
    </w:p>
    <w:p w14:paraId="4CBCF5D3">
      <w:pPr>
        <w:pStyle w:val="81"/>
        <w:keepNext w:val="0"/>
        <w:keepLines w:val="0"/>
        <w:pageBreakBefore w:val="0"/>
        <w:widowControl w:val="0"/>
        <w:numPr>
          <w:ilvl w:val="2"/>
          <w:numId w:val="0"/>
        </w:numPr>
        <w:tabs>
          <w:tab w:val="left" w:pos="1120"/>
        </w:tabs>
        <w:kinsoku/>
        <w:wordWrap/>
        <w:overflowPunct/>
        <w:topLinePunct w:val="0"/>
        <w:autoSpaceDE w:val="0"/>
        <w:autoSpaceDN w:val="0"/>
        <w:bidi w:val="0"/>
        <w:adjustRightInd/>
        <w:snapToGrid/>
        <w:spacing w:before="11" w:after="0" w:line="360" w:lineRule="auto"/>
        <w:ind w:left="1120" w:leftChars="0" w:right="0" w:rightChars="0" w:hanging="576"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6.1.</w:t>
      </w:r>
      <w:r>
        <w:rPr>
          <w:rFonts w:hint="eastAsia" w:ascii="宋体" w:hAnsi="宋体" w:eastAsia="宋体" w:cs="宋体"/>
          <w:color w:val="auto"/>
          <w:spacing w:val="-1"/>
          <w:w w:val="99"/>
          <w:sz w:val="21"/>
          <w:szCs w:val="21"/>
          <w:highlight w:val="none"/>
          <w:lang w:val="en-US" w:eastAsia="zh-CN" w:bidi="ar-SA"/>
        </w:rPr>
        <w:t xml:space="preserve">3 </w:t>
      </w:r>
      <w:r>
        <w:rPr>
          <w:rFonts w:hint="eastAsia" w:ascii="宋体" w:hAnsi="宋体" w:eastAsia="宋体" w:cs="宋体"/>
          <w:color w:val="auto"/>
          <w:sz w:val="21"/>
          <w:szCs w:val="21"/>
          <w:highlight w:val="none"/>
        </w:rPr>
        <w:t>申诉人应向</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提出申诉，有效的申诉应同时符合以下条件</w:t>
      </w:r>
    </w:p>
    <w:p w14:paraId="6B1940FA">
      <w:pPr>
        <w:pStyle w:val="81"/>
        <w:keepNext w:val="0"/>
        <w:keepLines w:val="0"/>
        <w:pageBreakBefore w:val="0"/>
        <w:widowControl w:val="0"/>
        <w:numPr>
          <w:ilvl w:val="2"/>
          <w:numId w:val="0"/>
        </w:numPr>
        <w:tabs>
          <w:tab w:val="left" w:pos="1120"/>
        </w:tabs>
        <w:kinsoku/>
        <w:wordWrap/>
        <w:overflowPunct/>
        <w:topLinePunct w:val="0"/>
        <w:autoSpaceDE w:val="0"/>
        <w:autoSpaceDN w:val="0"/>
        <w:bidi w:val="0"/>
        <w:adjustRightInd/>
        <w:snapToGrid/>
        <w:spacing w:before="11" w:after="0" w:line="360" w:lineRule="auto"/>
        <w:ind w:left="1120" w:leftChars="0" w:right="0" w:rightChars="0" w:hanging="576"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w w:val="99"/>
          <w:sz w:val="21"/>
          <w:szCs w:val="21"/>
          <w:highlight w:val="none"/>
          <w:lang w:val="en-US" w:eastAsia="en-US" w:bidi="ar-SA"/>
        </w:rPr>
        <w:t>1)</w:t>
      </w:r>
      <w:r>
        <w:rPr>
          <w:rFonts w:hint="eastAsia" w:ascii="宋体" w:hAnsi="宋体" w:eastAsia="宋体" w:cs="宋体"/>
          <w:color w:val="auto"/>
          <w:sz w:val="21"/>
          <w:szCs w:val="21"/>
          <w:highlight w:val="none"/>
          <w:lang w:eastAsia="zh-CN"/>
        </w:rPr>
        <w:t>申诉应以书面形式提出；</w:t>
      </w:r>
    </w:p>
    <w:p w14:paraId="7070E233">
      <w:pPr>
        <w:pStyle w:val="81"/>
        <w:keepNext w:val="0"/>
        <w:keepLines w:val="0"/>
        <w:pageBreakBefore w:val="0"/>
        <w:widowControl w:val="0"/>
        <w:numPr>
          <w:ilvl w:val="2"/>
          <w:numId w:val="0"/>
        </w:numPr>
        <w:tabs>
          <w:tab w:val="left" w:pos="1120"/>
        </w:tabs>
        <w:kinsoku/>
        <w:wordWrap/>
        <w:overflowPunct/>
        <w:topLinePunct w:val="0"/>
        <w:autoSpaceDE w:val="0"/>
        <w:autoSpaceDN w:val="0"/>
        <w:bidi w:val="0"/>
        <w:adjustRightInd/>
        <w:snapToGrid/>
        <w:spacing w:before="11" w:after="0" w:line="360" w:lineRule="auto"/>
        <w:ind w:left="1120" w:leftChars="0" w:right="0" w:rightChars="0" w:hanging="576"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zh-CN" w:bidi="ar-SA"/>
        </w:rPr>
        <w:t>2</w:t>
      </w:r>
      <w:r>
        <w:rPr>
          <w:rFonts w:hint="eastAsia" w:ascii="宋体" w:hAnsi="宋体" w:eastAsia="宋体" w:cs="宋体"/>
          <w:color w:val="auto"/>
          <w:spacing w:val="-1"/>
          <w:w w:val="99"/>
          <w:sz w:val="21"/>
          <w:szCs w:val="21"/>
          <w:highlight w:val="none"/>
          <w:lang w:val="en-US" w:eastAsia="en-US" w:bidi="ar-SA"/>
        </w:rPr>
        <w:t>)</w:t>
      </w:r>
      <w:r>
        <w:rPr>
          <w:rFonts w:hint="eastAsia" w:ascii="宋体" w:hAnsi="宋体" w:eastAsia="宋体" w:cs="宋体"/>
          <w:color w:val="auto"/>
          <w:sz w:val="21"/>
          <w:szCs w:val="21"/>
          <w:highlight w:val="none"/>
          <w:lang w:eastAsia="zh-CN"/>
        </w:rPr>
        <w:t>应由申诉人签字和盖章；</w:t>
      </w:r>
    </w:p>
    <w:p w14:paraId="26991B96">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1"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zh-CN" w:bidi="ar-SA"/>
        </w:rPr>
        <w:t>3</w:t>
      </w:r>
      <w:r>
        <w:rPr>
          <w:rFonts w:hint="eastAsia" w:ascii="宋体" w:hAnsi="宋体" w:eastAsia="宋体" w:cs="宋体"/>
          <w:color w:val="auto"/>
          <w:spacing w:val="-1"/>
          <w:w w:val="99"/>
          <w:sz w:val="21"/>
          <w:szCs w:val="21"/>
          <w:highlight w:val="none"/>
          <w:lang w:val="en-US" w:eastAsia="en-US" w:bidi="ar-SA"/>
        </w:rPr>
        <w:t>)</w:t>
      </w:r>
      <w:r>
        <w:rPr>
          <w:rFonts w:hint="eastAsia" w:ascii="宋体" w:hAnsi="宋体" w:eastAsia="宋体" w:cs="宋体"/>
          <w:color w:val="auto"/>
          <w:sz w:val="21"/>
          <w:szCs w:val="21"/>
          <w:highlight w:val="none"/>
        </w:rPr>
        <w:t>申诉人应是申诉事宜的直接相关方；</w:t>
      </w:r>
    </w:p>
    <w:p w14:paraId="00D3B849">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8"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zh-CN" w:bidi="ar-SA"/>
        </w:rPr>
        <w:t>4</w:t>
      </w:r>
      <w:r>
        <w:rPr>
          <w:rFonts w:hint="eastAsia" w:ascii="宋体" w:hAnsi="宋体" w:eastAsia="宋体" w:cs="宋体"/>
          <w:color w:val="auto"/>
          <w:spacing w:val="-1"/>
          <w:w w:val="99"/>
          <w:sz w:val="21"/>
          <w:szCs w:val="21"/>
          <w:highlight w:val="none"/>
          <w:lang w:val="en-US" w:eastAsia="en-US" w:bidi="ar-SA"/>
        </w:rPr>
        <w:t>)</w:t>
      </w:r>
      <w:r>
        <w:rPr>
          <w:rFonts w:hint="eastAsia" w:ascii="宋体" w:hAnsi="宋体" w:eastAsia="宋体" w:cs="宋体"/>
          <w:color w:val="auto"/>
          <w:spacing w:val="-1"/>
          <w:sz w:val="21"/>
          <w:szCs w:val="21"/>
          <w:highlight w:val="none"/>
        </w:rPr>
        <w:t xml:space="preserve">申诉的提出与收到相关决定或处理措施的时间间隔不超过 </w:t>
      </w:r>
      <w:r>
        <w:rPr>
          <w:rFonts w:hint="eastAsia" w:ascii="宋体" w:hAnsi="宋体" w:eastAsia="宋体" w:cs="宋体"/>
          <w:color w:val="auto"/>
          <w:sz w:val="21"/>
          <w:szCs w:val="21"/>
          <w:highlight w:val="none"/>
        </w:rPr>
        <w:t>10</w:t>
      </w:r>
      <w:r>
        <w:rPr>
          <w:rFonts w:hint="eastAsia" w:ascii="宋体" w:hAnsi="宋体" w:eastAsia="宋体" w:cs="宋体"/>
          <w:color w:val="auto"/>
          <w:spacing w:val="-3"/>
          <w:sz w:val="21"/>
          <w:szCs w:val="21"/>
          <w:highlight w:val="none"/>
        </w:rPr>
        <w:t xml:space="preserve"> 个工作日；</w:t>
      </w:r>
    </w:p>
    <w:p w14:paraId="056CC58D">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1"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zh-CN" w:bidi="ar-SA"/>
        </w:rPr>
        <w:t>5</w:t>
      </w:r>
      <w:r>
        <w:rPr>
          <w:rFonts w:hint="eastAsia" w:ascii="宋体" w:hAnsi="宋体" w:eastAsia="宋体" w:cs="宋体"/>
          <w:color w:val="auto"/>
          <w:spacing w:val="-1"/>
          <w:w w:val="99"/>
          <w:sz w:val="21"/>
          <w:szCs w:val="21"/>
          <w:highlight w:val="none"/>
          <w:lang w:val="en-US" w:eastAsia="en-US" w:bidi="ar-SA"/>
        </w:rPr>
        <w:t>)</w:t>
      </w:r>
      <w:r>
        <w:rPr>
          <w:rFonts w:hint="eastAsia" w:ascii="宋体" w:hAnsi="宋体" w:eastAsia="宋体" w:cs="宋体"/>
          <w:color w:val="auto"/>
          <w:spacing w:val="-2"/>
          <w:sz w:val="21"/>
          <w:szCs w:val="21"/>
          <w:highlight w:val="none"/>
        </w:rPr>
        <w:t xml:space="preserve">缴纳申诉保证金 </w:t>
      </w:r>
      <w:r>
        <w:rPr>
          <w:rFonts w:hint="eastAsia" w:ascii="宋体" w:hAnsi="宋体" w:eastAsia="宋体" w:cs="宋体"/>
          <w:color w:val="auto"/>
          <w:sz w:val="21"/>
          <w:szCs w:val="21"/>
          <w:highlight w:val="none"/>
        </w:rPr>
        <w:t>2000</w:t>
      </w:r>
      <w:r>
        <w:rPr>
          <w:rFonts w:hint="eastAsia" w:ascii="宋体" w:hAnsi="宋体" w:eastAsia="宋体" w:cs="宋体"/>
          <w:color w:val="auto"/>
          <w:spacing w:val="-3"/>
          <w:sz w:val="21"/>
          <w:szCs w:val="21"/>
          <w:highlight w:val="none"/>
        </w:rPr>
        <w:t xml:space="preserve"> 元。</w:t>
      </w:r>
    </w:p>
    <w:p w14:paraId="2EF8ABD3">
      <w:pPr>
        <w:pStyle w:val="81"/>
        <w:keepNext w:val="0"/>
        <w:keepLines w:val="0"/>
        <w:pageBreakBefore w:val="0"/>
        <w:widowControl w:val="0"/>
        <w:numPr>
          <w:ilvl w:val="2"/>
          <w:numId w:val="0"/>
        </w:numPr>
        <w:tabs>
          <w:tab w:val="left" w:pos="1120"/>
        </w:tabs>
        <w:kinsoku/>
        <w:wordWrap/>
        <w:overflowPunct/>
        <w:topLinePunct w:val="0"/>
        <w:autoSpaceDE w:val="0"/>
        <w:autoSpaceDN w:val="0"/>
        <w:bidi w:val="0"/>
        <w:adjustRightInd/>
        <w:snapToGrid/>
        <w:spacing w:before="14" w:after="0" w:line="360" w:lineRule="auto"/>
        <w:ind w:left="1120" w:leftChars="0" w:right="0" w:rightChars="0" w:hanging="576"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6.1.</w:t>
      </w:r>
      <w:r>
        <w:rPr>
          <w:rFonts w:hint="eastAsia" w:ascii="宋体" w:hAnsi="宋体" w:eastAsia="宋体" w:cs="宋体"/>
          <w:color w:val="auto"/>
          <w:spacing w:val="-1"/>
          <w:w w:val="99"/>
          <w:sz w:val="21"/>
          <w:szCs w:val="21"/>
          <w:highlight w:val="none"/>
          <w:lang w:val="en-US" w:eastAsia="zh-CN" w:bidi="ar-SA"/>
        </w:rPr>
        <w:t xml:space="preserve">4 </w:t>
      </w:r>
      <w:r>
        <w:rPr>
          <w:rFonts w:hint="eastAsia" w:ascii="宋体" w:hAnsi="宋体" w:eastAsia="宋体" w:cs="宋体"/>
          <w:color w:val="auto"/>
          <w:sz w:val="21"/>
          <w:szCs w:val="21"/>
          <w:highlight w:val="none"/>
        </w:rPr>
        <w:t>申诉的受理</w:t>
      </w:r>
    </w:p>
    <w:p w14:paraId="31B4AF53">
      <w:pPr>
        <w:pStyle w:val="16"/>
        <w:keepNext w:val="0"/>
        <w:keepLines w:val="0"/>
        <w:pageBreakBefore w:val="0"/>
        <w:widowControl w:val="0"/>
        <w:kinsoku/>
        <w:wordWrap/>
        <w:overflowPunct/>
        <w:topLinePunct w:val="0"/>
        <w:autoSpaceDE w:val="0"/>
        <w:autoSpaceDN w:val="0"/>
        <w:bidi w:val="0"/>
        <w:adjustRightInd/>
        <w:snapToGrid/>
        <w:spacing w:before="14" w:line="360" w:lineRule="auto"/>
        <w:ind w:right="245" w:firstLine="436"/>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lang w:val="en-US" w:eastAsia="zh-CN"/>
        </w:rPr>
        <w:t>运营部</w:t>
      </w:r>
      <w:r>
        <w:rPr>
          <w:rFonts w:hint="eastAsia" w:ascii="宋体" w:hAnsi="宋体" w:eastAsia="宋体" w:cs="宋体"/>
          <w:color w:val="auto"/>
          <w:spacing w:val="-2"/>
          <w:sz w:val="21"/>
          <w:szCs w:val="21"/>
          <w:highlight w:val="none"/>
        </w:rPr>
        <w:t>接受申诉人的申诉后，</w:t>
      </w:r>
      <w:r>
        <w:rPr>
          <w:rFonts w:hint="eastAsia" w:ascii="宋体" w:hAnsi="宋体" w:eastAsia="宋体" w:cs="宋体"/>
          <w:color w:val="auto"/>
          <w:sz w:val="21"/>
          <w:szCs w:val="21"/>
          <w:highlight w:val="none"/>
        </w:rPr>
        <w:t>应及时、公正、有效地处理,采取必要的纠正措施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并</w:t>
      </w:r>
      <w:r>
        <w:rPr>
          <w:rFonts w:hint="eastAsia" w:ascii="宋体" w:hAnsi="宋体" w:eastAsia="宋体" w:cs="宋体"/>
          <w:color w:val="auto"/>
          <w:spacing w:val="-2"/>
          <w:sz w:val="21"/>
          <w:szCs w:val="21"/>
          <w:highlight w:val="none"/>
        </w:rPr>
        <w:t>填写《投诉和申诉处理表》，进行初步审查后提交技术委员会。技委会对申诉材料的有效性审查，并将申诉的受理情况通知申请人。</w:t>
      </w:r>
    </w:p>
    <w:p w14:paraId="6136CC41">
      <w:pPr>
        <w:pStyle w:val="81"/>
        <w:keepNext w:val="0"/>
        <w:keepLines w:val="0"/>
        <w:pageBreakBefore w:val="0"/>
        <w:widowControl w:val="0"/>
        <w:numPr>
          <w:ilvl w:val="2"/>
          <w:numId w:val="0"/>
        </w:numPr>
        <w:tabs>
          <w:tab w:val="left" w:pos="1120"/>
        </w:tabs>
        <w:kinsoku/>
        <w:wordWrap/>
        <w:overflowPunct/>
        <w:topLinePunct w:val="0"/>
        <w:autoSpaceDE w:val="0"/>
        <w:autoSpaceDN w:val="0"/>
        <w:bidi w:val="0"/>
        <w:adjustRightInd/>
        <w:snapToGrid/>
        <w:spacing w:before="3" w:after="0" w:line="360" w:lineRule="auto"/>
        <w:ind w:left="1120" w:leftChars="0" w:right="0" w:rightChars="0" w:hanging="576"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6.1.</w:t>
      </w:r>
      <w:r>
        <w:rPr>
          <w:rFonts w:hint="eastAsia" w:ascii="宋体" w:hAnsi="宋体" w:eastAsia="宋体" w:cs="宋体"/>
          <w:color w:val="auto"/>
          <w:spacing w:val="-1"/>
          <w:w w:val="99"/>
          <w:sz w:val="21"/>
          <w:szCs w:val="21"/>
          <w:highlight w:val="none"/>
          <w:lang w:val="en-US" w:eastAsia="zh-CN" w:bidi="ar-SA"/>
        </w:rPr>
        <w:t xml:space="preserve">5 </w:t>
      </w:r>
      <w:r>
        <w:rPr>
          <w:rFonts w:hint="eastAsia" w:ascii="宋体" w:hAnsi="宋体" w:eastAsia="宋体" w:cs="宋体"/>
          <w:color w:val="auto"/>
          <w:sz w:val="21"/>
          <w:szCs w:val="21"/>
          <w:highlight w:val="none"/>
        </w:rPr>
        <w:t>调查与处理：</w:t>
      </w:r>
    </w:p>
    <w:p w14:paraId="009A319E">
      <w:pPr>
        <w:pStyle w:val="16"/>
        <w:keepNext w:val="0"/>
        <w:keepLines w:val="0"/>
        <w:pageBreakBefore w:val="0"/>
        <w:widowControl w:val="0"/>
        <w:kinsoku/>
        <w:wordWrap/>
        <w:overflowPunct/>
        <w:topLinePunct w:val="0"/>
        <w:autoSpaceDE w:val="0"/>
        <w:autoSpaceDN w:val="0"/>
        <w:bidi w:val="0"/>
        <w:adjustRightInd/>
        <w:snapToGrid/>
        <w:spacing w:before="14" w:line="360" w:lineRule="auto"/>
        <w:ind w:right="245" w:firstLine="436"/>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技术委员会主任根据申诉内容，必要时向公正性委员会主任汇报，并在一周内组织与申诉对象无利害关系的</w:t>
      </w:r>
      <w:r>
        <w:rPr>
          <w:rFonts w:hint="eastAsia" w:ascii="宋体" w:hAnsi="宋体" w:eastAsia="宋体" w:cs="宋体"/>
          <w:color w:val="auto"/>
          <w:sz w:val="21"/>
          <w:szCs w:val="21"/>
          <w:highlight w:val="none"/>
        </w:rPr>
        <w:t>人员组成工作组，负责调查。必要时召集听证会议，听取双方陈述。需要召开听证会时，技术委员会主任负责召集听证会议，会议前，至少提前 10 个工作日将会议的时间和地点通知申诉人和申诉处理工作组。申诉处理工作组和申诉人均有权在不迟于听证会议召开前 5 个工作日提出有关的证人姓名和地址。在调查完成后，工作组应参考以前类似申诉的结果，客观公正地提交书面报告，并提出拟定采取何种措施以回应申诉的建议。</w:t>
      </w:r>
    </w:p>
    <w:p w14:paraId="2328CE6A">
      <w:pPr>
        <w:pStyle w:val="81"/>
        <w:keepNext w:val="0"/>
        <w:keepLines w:val="0"/>
        <w:pageBreakBefore w:val="0"/>
        <w:widowControl w:val="0"/>
        <w:numPr>
          <w:ilvl w:val="2"/>
          <w:numId w:val="0"/>
        </w:numPr>
        <w:tabs>
          <w:tab w:val="left" w:pos="1120"/>
        </w:tabs>
        <w:kinsoku/>
        <w:wordWrap/>
        <w:overflowPunct/>
        <w:topLinePunct w:val="0"/>
        <w:autoSpaceDE w:val="0"/>
        <w:autoSpaceDN w:val="0"/>
        <w:bidi w:val="0"/>
        <w:adjustRightInd/>
        <w:snapToGrid/>
        <w:spacing w:before="0" w:after="0" w:line="360" w:lineRule="auto"/>
        <w:ind w:left="1120" w:leftChars="0" w:right="0" w:rightChars="0" w:hanging="576"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6.1.</w:t>
      </w:r>
      <w:r>
        <w:rPr>
          <w:rFonts w:hint="eastAsia" w:ascii="宋体" w:hAnsi="宋体" w:eastAsia="宋体" w:cs="宋体"/>
          <w:color w:val="auto"/>
          <w:spacing w:val="-1"/>
          <w:w w:val="99"/>
          <w:sz w:val="21"/>
          <w:szCs w:val="21"/>
          <w:highlight w:val="none"/>
          <w:lang w:val="en-US" w:eastAsia="zh-CN" w:bidi="ar-SA"/>
        </w:rPr>
        <w:t xml:space="preserve">6 </w:t>
      </w:r>
      <w:r>
        <w:rPr>
          <w:rFonts w:hint="eastAsia" w:ascii="宋体" w:hAnsi="宋体" w:eastAsia="宋体" w:cs="宋体"/>
          <w:color w:val="auto"/>
          <w:sz w:val="21"/>
          <w:szCs w:val="21"/>
          <w:highlight w:val="none"/>
        </w:rPr>
        <w:t>申诉的裁定</w:t>
      </w:r>
    </w:p>
    <w:p w14:paraId="2FFBBDBE">
      <w:pPr>
        <w:pStyle w:val="16"/>
        <w:keepNext w:val="0"/>
        <w:keepLines w:val="0"/>
        <w:pageBreakBefore w:val="0"/>
        <w:widowControl w:val="0"/>
        <w:kinsoku/>
        <w:wordWrap/>
        <w:overflowPunct/>
        <w:topLinePunct w:val="0"/>
        <w:autoSpaceDE w:val="0"/>
        <w:autoSpaceDN w:val="0"/>
        <w:bidi w:val="0"/>
        <w:adjustRightInd/>
        <w:snapToGrid/>
        <w:spacing w:before="14" w:line="360" w:lineRule="auto"/>
        <w:ind w:right="141" w:firstLine="43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技术委员会主任召开会议讨论裁定意见，裁定结论对各方均有约束力。如果技委会不能就申诉裁定形成决议，可将意见提交</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公正性委员会，通过会议或函审的方式作出最终决定。若裁定不能形成多数意见时</w:t>
      </w:r>
      <w:r>
        <w:rPr>
          <w:rFonts w:hint="eastAsia" w:ascii="宋体" w:hAnsi="宋体" w:eastAsia="宋体" w:cs="宋体"/>
          <w:color w:val="auto"/>
          <w:spacing w:val="-9"/>
          <w:w w:val="95"/>
          <w:sz w:val="21"/>
          <w:szCs w:val="21"/>
          <w:highlight w:val="none"/>
        </w:rPr>
        <w:t>，</w:t>
      </w:r>
      <w:r>
        <w:rPr>
          <w:rFonts w:hint="eastAsia" w:ascii="宋体" w:hAnsi="宋体" w:eastAsia="宋体" w:cs="宋体"/>
          <w:color w:val="auto"/>
          <w:spacing w:val="-9"/>
          <w:sz w:val="21"/>
          <w:szCs w:val="21"/>
          <w:highlight w:val="none"/>
        </w:rPr>
        <w:t>裁定应当按照技术委员会主任意见执行。对申诉的决定应由与申诉事项无关的人员做出，并应告知申诉人。</w:t>
      </w:r>
    </w:p>
    <w:p w14:paraId="3F35CDE7">
      <w:pPr>
        <w:pStyle w:val="81"/>
        <w:keepNext w:val="0"/>
        <w:keepLines w:val="0"/>
        <w:pageBreakBefore w:val="0"/>
        <w:widowControl w:val="0"/>
        <w:numPr>
          <w:ilvl w:val="2"/>
          <w:numId w:val="0"/>
        </w:numPr>
        <w:tabs>
          <w:tab w:val="left" w:pos="1120"/>
        </w:tabs>
        <w:kinsoku/>
        <w:wordWrap/>
        <w:overflowPunct/>
        <w:topLinePunct w:val="0"/>
        <w:autoSpaceDE w:val="0"/>
        <w:autoSpaceDN w:val="0"/>
        <w:bidi w:val="0"/>
        <w:adjustRightInd/>
        <w:snapToGrid/>
        <w:spacing w:before="4" w:after="0" w:line="360" w:lineRule="auto"/>
        <w:ind w:left="1120" w:leftChars="0" w:right="0" w:rightChars="0" w:hanging="576"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6.1.</w:t>
      </w:r>
      <w:r>
        <w:rPr>
          <w:rFonts w:hint="eastAsia" w:ascii="宋体" w:hAnsi="宋体" w:eastAsia="宋体" w:cs="宋体"/>
          <w:color w:val="auto"/>
          <w:spacing w:val="-1"/>
          <w:w w:val="99"/>
          <w:sz w:val="21"/>
          <w:szCs w:val="21"/>
          <w:highlight w:val="none"/>
          <w:lang w:val="en-US" w:eastAsia="zh-CN" w:bidi="ar-SA"/>
        </w:rPr>
        <w:t xml:space="preserve">7 </w:t>
      </w:r>
      <w:r>
        <w:rPr>
          <w:rFonts w:hint="eastAsia" w:ascii="宋体" w:hAnsi="宋体" w:eastAsia="宋体" w:cs="宋体"/>
          <w:color w:val="auto"/>
          <w:sz w:val="21"/>
          <w:szCs w:val="21"/>
          <w:highlight w:val="none"/>
        </w:rPr>
        <w:t>申诉裁定的执行</w:t>
      </w:r>
    </w:p>
    <w:p w14:paraId="07150F89">
      <w:pPr>
        <w:pStyle w:val="16"/>
        <w:keepNext w:val="0"/>
        <w:keepLines w:val="0"/>
        <w:pageBreakBefore w:val="0"/>
        <w:widowControl w:val="0"/>
        <w:kinsoku/>
        <w:wordWrap/>
        <w:overflowPunct/>
        <w:topLinePunct w:val="0"/>
        <w:autoSpaceDE w:val="0"/>
        <w:autoSpaceDN w:val="0"/>
        <w:bidi w:val="0"/>
        <w:adjustRightInd/>
        <w:snapToGrid/>
        <w:spacing w:before="13" w:line="360" w:lineRule="auto"/>
        <w:ind w:right="248" w:firstLine="43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lang w:eastAsia="zh-CN"/>
        </w:rPr>
        <w:t>运营部</w:t>
      </w:r>
      <w:r>
        <w:rPr>
          <w:rFonts w:hint="eastAsia" w:ascii="宋体" w:hAnsi="宋体" w:eastAsia="宋体" w:cs="宋体"/>
          <w:color w:val="auto"/>
          <w:spacing w:val="-9"/>
          <w:sz w:val="21"/>
          <w:szCs w:val="21"/>
          <w:highlight w:val="none"/>
        </w:rPr>
        <w:t>根据技委会提出的裁定意见负责组织实施，跟踪和记录，包括为解决申诉而采取的措施，向申诉人</w:t>
      </w:r>
      <w:r>
        <w:rPr>
          <w:rFonts w:hint="eastAsia" w:ascii="宋体" w:hAnsi="宋体" w:eastAsia="宋体" w:cs="宋体"/>
          <w:color w:val="auto"/>
          <w:sz w:val="21"/>
          <w:szCs w:val="21"/>
          <w:highlight w:val="none"/>
        </w:rPr>
        <w:t>提供申诉处理的进展报告和结果。</w:t>
      </w:r>
    </w:p>
    <w:p w14:paraId="59AD73A7">
      <w:pPr>
        <w:pStyle w:val="16"/>
        <w:keepNext w:val="0"/>
        <w:keepLines w:val="0"/>
        <w:pageBreakBefore w:val="0"/>
        <w:widowControl w:val="0"/>
        <w:kinsoku/>
        <w:wordWrap/>
        <w:overflowPunct/>
        <w:topLinePunct w:val="0"/>
        <w:autoSpaceDE w:val="0"/>
        <w:autoSpaceDN w:val="0"/>
        <w:bidi w:val="0"/>
        <w:adjustRightInd/>
        <w:snapToGrid/>
        <w:spacing w:before="2" w:line="360" w:lineRule="auto"/>
        <w:ind w:left="544" w:firstLine="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应在申诉处理过程结束时正式书面通知申诉人。</w:t>
      </w:r>
    </w:p>
    <w:p w14:paraId="0EDD5EB8">
      <w:pPr>
        <w:pStyle w:val="16"/>
        <w:keepNext w:val="0"/>
        <w:keepLines w:val="0"/>
        <w:pageBreakBefore w:val="0"/>
        <w:widowControl w:val="0"/>
        <w:kinsoku/>
        <w:wordWrap/>
        <w:overflowPunct/>
        <w:topLinePunct w:val="0"/>
        <w:autoSpaceDE w:val="0"/>
        <w:autoSpaceDN w:val="0"/>
        <w:bidi w:val="0"/>
        <w:adjustRightInd/>
        <w:snapToGrid/>
        <w:spacing w:before="14" w:line="360" w:lineRule="auto"/>
        <w:ind w:left="544" w:firstLine="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申诉应在受理后 60 日内处理完，并将处理结果书面通知申请人，需延期时经技术委员会主任批准。</w:t>
      </w:r>
    </w:p>
    <w:p w14:paraId="6323D931">
      <w:pPr>
        <w:pStyle w:val="16"/>
        <w:keepNext w:val="0"/>
        <w:keepLines w:val="0"/>
        <w:pageBreakBefore w:val="0"/>
        <w:widowControl w:val="0"/>
        <w:kinsoku/>
        <w:wordWrap/>
        <w:overflowPunct/>
        <w:topLinePunct w:val="0"/>
        <w:autoSpaceDE w:val="0"/>
        <w:autoSpaceDN w:val="0"/>
        <w:bidi w:val="0"/>
        <w:adjustRightInd/>
        <w:snapToGrid/>
        <w:spacing w:before="11" w:line="360" w:lineRule="auto"/>
        <w:ind w:left="544" w:firstLine="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如申诉人对处理结果不满，可在接到申诉结果 10 个工作日内向公正性委员会或认可方,CNCA 再次提出申诉。</w:t>
      </w:r>
    </w:p>
    <w:p w14:paraId="0B128FCA">
      <w:pPr>
        <w:pStyle w:val="81"/>
        <w:keepNext w:val="0"/>
        <w:keepLines w:val="0"/>
        <w:pageBreakBefore w:val="0"/>
        <w:widowControl w:val="0"/>
        <w:numPr>
          <w:ilvl w:val="2"/>
          <w:numId w:val="0"/>
        </w:numPr>
        <w:tabs>
          <w:tab w:val="left" w:pos="1120"/>
        </w:tabs>
        <w:kinsoku/>
        <w:wordWrap/>
        <w:overflowPunct/>
        <w:topLinePunct w:val="0"/>
        <w:autoSpaceDE w:val="0"/>
        <w:autoSpaceDN w:val="0"/>
        <w:bidi w:val="0"/>
        <w:adjustRightInd/>
        <w:snapToGrid/>
        <w:spacing w:before="13" w:after="0" w:line="360" w:lineRule="auto"/>
        <w:ind w:left="1120" w:leftChars="0" w:right="0" w:rightChars="0" w:hanging="576"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6.1.</w:t>
      </w:r>
      <w:r>
        <w:rPr>
          <w:rFonts w:hint="eastAsia" w:ascii="宋体" w:hAnsi="宋体" w:eastAsia="宋体" w:cs="宋体"/>
          <w:color w:val="auto"/>
          <w:spacing w:val="-1"/>
          <w:w w:val="99"/>
          <w:sz w:val="21"/>
          <w:szCs w:val="21"/>
          <w:highlight w:val="none"/>
          <w:lang w:val="en-US" w:eastAsia="zh-CN" w:bidi="ar-SA"/>
        </w:rPr>
        <w:t xml:space="preserve">8 </w:t>
      </w:r>
      <w:r>
        <w:rPr>
          <w:rFonts w:hint="eastAsia" w:ascii="宋体" w:hAnsi="宋体" w:eastAsia="宋体" w:cs="宋体"/>
          <w:color w:val="auto"/>
          <w:sz w:val="21"/>
          <w:szCs w:val="21"/>
          <w:highlight w:val="none"/>
        </w:rPr>
        <w:t>费用</w:t>
      </w:r>
    </w:p>
    <w:p w14:paraId="10F2E8F4">
      <w:pPr>
        <w:pStyle w:val="16"/>
        <w:keepNext w:val="0"/>
        <w:keepLines w:val="0"/>
        <w:pageBreakBefore w:val="0"/>
        <w:widowControl w:val="0"/>
        <w:kinsoku/>
        <w:wordWrap/>
        <w:overflowPunct/>
        <w:topLinePunct w:val="0"/>
        <w:autoSpaceDE w:val="0"/>
        <w:autoSpaceDN w:val="0"/>
        <w:bidi w:val="0"/>
        <w:adjustRightInd/>
        <w:snapToGrid/>
        <w:spacing w:before="12" w:line="360" w:lineRule="auto"/>
        <w:ind w:left="544" w:firstLine="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申诉处理的合理费用由双方按照在申诉过程事项中所承担的责任承担。</w:t>
      </w:r>
    </w:p>
    <w:p w14:paraId="73CD7A64">
      <w:pPr>
        <w:pStyle w:val="81"/>
        <w:keepNext w:val="0"/>
        <w:keepLines w:val="0"/>
        <w:pageBreakBefore w:val="0"/>
        <w:widowControl w:val="0"/>
        <w:numPr>
          <w:ilvl w:val="1"/>
          <w:numId w:val="0"/>
        </w:numPr>
        <w:tabs>
          <w:tab w:val="left" w:pos="945"/>
        </w:tabs>
        <w:kinsoku/>
        <w:wordWrap/>
        <w:overflowPunct/>
        <w:topLinePunct w:val="0"/>
        <w:autoSpaceDE w:val="0"/>
        <w:autoSpaceDN w:val="0"/>
        <w:bidi w:val="0"/>
        <w:adjustRightInd/>
        <w:snapToGrid/>
        <w:spacing w:before="14" w:after="0" w:line="360" w:lineRule="auto"/>
        <w:ind w:left="944" w:leftChars="0" w:right="0" w:rightChars="0" w:hanging="40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6.2</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投诉</w:t>
      </w:r>
    </w:p>
    <w:p w14:paraId="122D0BB3">
      <w:pPr>
        <w:pStyle w:val="81"/>
        <w:keepNext w:val="0"/>
        <w:keepLines w:val="0"/>
        <w:pageBreakBefore w:val="0"/>
        <w:widowControl w:val="0"/>
        <w:numPr>
          <w:ilvl w:val="2"/>
          <w:numId w:val="0"/>
        </w:numPr>
        <w:tabs>
          <w:tab w:val="left" w:pos="1120"/>
        </w:tabs>
        <w:kinsoku/>
        <w:wordWrap/>
        <w:overflowPunct/>
        <w:topLinePunct w:val="0"/>
        <w:autoSpaceDE w:val="0"/>
        <w:autoSpaceDN w:val="0"/>
        <w:bidi w:val="0"/>
        <w:adjustRightInd/>
        <w:snapToGrid/>
        <w:spacing w:before="13" w:after="0" w:line="360" w:lineRule="auto"/>
        <w:ind w:left="1120" w:leftChars="0" w:right="0" w:rightChars="0" w:hanging="576"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6.2.1</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投诉是指任何组织或个人向</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表达的、有别于申诉并希望得到答复的、对</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或其获证组织的活动不满的书面表示。投诉应以书面形式就投诉所涉及事件向</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提出，并提供详细资料。通常情况下</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对匿名投诉不予受理。</w:t>
      </w:r>
    </w:p>
    <w:p w14:paraId="371C8913">
      <w:pPr>
        <w:pStyle w:val="81"/>
        <w:keepNext w:val="0"/>
        <w:keepLines w:val="0"/>
        <w:pageBreakBefore w:val="0"/>
        <w:widowControl w:val="0"/>
        <w:numPr>
          <w:ilvl w:val="2"/>
          <w:numId w:val="0"/>
        </w:numPr>
        <w:tabs>
          <w:tab w:val="left" w:pos="1120"/>
        </w:tabs>
        <w:kinsoku/>
        <w:wordWrap/>
        <w:overflowPunct/>
        <w:topLinePunct w:val="0"/>
        <w:autoSpaceDE w:val="0"/>
        <w:autoSpaceDN w:val="0"/>
        <w:bidi w:val="0"/>
        <w:adjustRightInd/>
        <w:snapToGrid/>
        <w:spacing w:before="0" w:after="0" w:line="360" w:lineRule="auto"/>
        <w:ind w:left="1120" w:leftChars="0" w:right="0" w:rightChars="0" w:hanging="576"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6.2.2</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投诉的范围</w:t>
      </w:r>
    </w:p>
    <w:p w14:paraId="4D4DD804">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1" w:after="0" w:line="360" w:lineRule="auto"/>
        <w:ind w:left="107" w:leftChars="0" w:right="245"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w:t>
      </w:r>
      <w:r>
        <w:rPr>
          <w:rFonts w:hint="eastAsia" w:ascii="宋体" w:hAnsi="宋体" w:eastAsia="宋体" w:cs="宋体"/>
          <w:color w:val="auto"/>
          <w:sz w:val="21"/>
          <w:szCs w:val="21"/>
          <w:highlight w:val="none"/>
        </w:rPr>
        <w:t>认为</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或认证人员在认证活动中违反国家法律、法规和规章及</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认证规则和《公正性和保密性承诺》；</w:t>
      </w:r>
    </w:p>
    <w:p w14:paraId="42981CC8">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0"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2)</w:t>
      </w:r>
      <w:r>
        <w:rPr>
          <w:rFonts w:hint="eastAsia" w:ascii="宋体" w:hAnsi="宋体" w:eastAsia="宋体" w:cs="宋体"/>
          <w:color w:val="auto"/>
          <w:sz w:val="21"/>
          <w:szCs w:val="21"/>
          <w:highlight w:val="none"/>
        </w:rPr>
        <w:t>对认证人员的职业道德不满，对</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的服务质量不满；</w:t>
      </w:r>
    </w:p>
    <w:p w14:paraId="10B176F8">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1"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3)</w:t>
      </w:r>
      <w:r>
        <w:rPr>
          <w:rFonts w:hint="eastAsia" w:ascii="宋体" w:hAnsi="宋体" w:eastAsia="宋体" w:cs="宋体"/>
          <w:color w:val="auto"/>
          <w:sz w:val="21"/>
          <w:szCs w:val="21"/>
          <w:highlight w:val="none"/>
        </w:rPr>
        <w:t>认为认证人员泄露了客户有关机密或由此对客户造成了损害；</w:t>
      </w:r>
    </w:p>
    <w:p w14:paraId="2C31E416">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8"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4)</w:t>
      </w:r>
      <w:r>
        <w:rPr>
          <w:rFonts w:hint="eastAsia" w:ascii="宋体" w:hAnsi="宋体" w:eastAsia="宋体" w:cs="宋体"/>
          <w:color w:val="auto"/>
          <w:sz w:val="21"/>
          <w:szCs w:val="21"/>
          <w:highlight w:val="none"/>
        </w:rPr>
        <w:t>使人对获证组织的管理体系实现预期结果的能力产生重大怀疑的情况；</w:t>
      </w:r>
    </w:p>
    <w:p w14:paraId="06880151">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1"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5)</w:t>
      </w:r>
      <w:r>
        <w:rPr>
          <w:rFonts w:hint="eastAsia" w:ascii="宋体" w:hAnsi="宋体" w:eastAsia="宋体" w:cs="宋体"/>
          <w:color w:val="auto"/>
          <w:sz w:val="21"/>
          <w:szCs w:val="21"/>
          <w:highlight w:val="none"/>
        </w:rPr>
        <w:t>获证组织发生重大质量、安全、环境事故；</w:t>
      </w:r>
    </w:p>
    <w:p w14:paraId="2A644F71">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4"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6)</w:t>
      </w:r>
      <w:r>
        <w:rPr>
          <w:rFonts w:hint="eastAsia" w:ascii="宋体" w:hAnsi="宋体" w:eastAsia="宋体" w:cs="宋体"/>
          <w:color w:val="auto"/>
          <w:sz w:val="21"/>
          <w:szCs w:val="21"/>
          <w:highlight w:val="none"/>
        </w:rPr>
        <w:t>其他，如媒体曝光。</w:t>
      </w:r>
    </w:p>
    <w:p w14:paraId="302B25F9">
      <w:pPr>
        <w:pStyle w:val="81"/>
        <w:keepNext w:val="0"/>
        <w:keepLines w:val="0"/>
        <w:pageBreakBefore w:val="0"/>
        <w:widowControl w:val="0"/>
        <w:numPr>
          <w:ilvl w:val="2"/>
          <w:numId w:val="0"/>
        </w:numPr>
        <w:tabs>
          <w:tab w:val="left" w:pos="1120"/>
        </w:tabs>
        <w:kinsoku/>
        <w:wordWrap/>
        <w:overflowPunct/>
        <w:topLinePunct w:val="0"/>
        <w:autoSpaceDE w:val="0"/>
        <w:autoSpaceDN w:val="0"/>
        <w:bidi w:val="0"/>
        <w:adjustRightInd/>
        <w:snapToGrid/>
        <w:spacing w:before="14" w:after="0" w:line="360" w:lineRule="auto"/>
        <w:ind w:left="1120" w:leftChars="0" w:right="0" w:rightChars="0" w:hanging="576"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6.2.3</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投诉的受理</w:t>
      </w:r>
    </w:p>
    <w:p w14:paraId="3CF202F9">
      <w:pPr>
        <w:pStyle w:val="16"/>
        <w:keepNext w:val="0"/>
        <w:keepLines w:val="0"/>
        <w:pageBreakBefore w:val="0"/>
        <w:widowControl w:val="0"/>
        <w:kinsoku/>
        <w:wordWrap/>
        <w:overflowPunct/>
        <w:topLinePunct w:val="0"/>
        <w:autoSpaceDE w:val="0"/>
        <w:autoSpaceDN w:val="0"/>
        <w:bidi w:val="0"/>
        <w:adjustRightInd/>
        <w:snapToGrid/>
        <w:spacing w:before="11" w:line="360" w:lineRule="auto"/>
        <w:ind w:right="246" w:firstLine="436"/>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运营</w:t>
      </w:r>
      <w:r>
        <w:rPr>
          <w:rFonts w:hint="eastAsia" w:ascii="宋体" w:hAnsi="宋体" w:eastAsia="宋体" w:cs="宋体"/>
          <w:color w:val="auto"/>
          <w:sz w:val="21"/>
          <w:szCs w:val="21"/>
          <w:highlight w:val="none"/>
        </w:rPr>
        <w:t>部接受投诉人的投诉后，应及时、公正、有效地处理,采取必要的纠正措施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并</w:t>
      </w:r>
      <w:r>
        <w:rPr>
          <w:rFonts w:hint="eastAsia" w:ascii="宋体" w:hAnsi="宋体" w:eastAsia="宋体" w:cs="宋体"/>
          <w:color w:val="auto"/>
          <w:sz w:val="21"/>
          <w:szCs w:val="21"/>
          <w:highlight w:val="none"/>
        </w:rPr>
        <w:t>填写《投诉和申诉处理表》，进行初步审查后提交技术委员会。在可能时，</w:t>
      </w:r>
      <w:r>
        <w:rPr>
          <w:rFonts w:hint="eastAsia" w:ascii="宋体" w:hAnsi="宋体" w:eastAsia="宋体" w:cs="宋体"/>
          <w:color w:val="auto"/>
          <w:sz w:val="21"/>
          <w:szCs w:val="21"/>
          <w:highlight w:val="none"/>
          <w:lang w:val="en-US" w:eastAsia="zh-CN"/>
        </w:rPr>
        <w:t>运营</w:t>
      </w:r>
      <w:r>
        <w:rPr>
          <w:rFonts w:hint="eastAsia" w:ascii="宋体" w:hAnsi="宋体" w:eastAsia="宋体" w:cs="宋体"/>
          <w:color w:val="auto"/>
          <w:sz w:val="21"/>
          <w:szCs w:val="21"/>
          <w:highlight w:val="none"/>
          <w:lang w:eastAsia="zh-CN"/>
        </w:rPr>
        <w:t>部</w:t>
      </w:r>
      <w:r>
        <w:rPr>
          <w:rFonts w:hint="eastAsia" w:ascii="宋体" w:hAnsi="宋体" w:eastAsia="宋体" w:cs="宋体"/>
          <w:color w:val="auto"/>
          <w:sz w:val="21"/>
          <w:szCs w:val="21"/>
          <w:highlight w:val="none"/>
        </w:rPr>
        <w:t>应向投诉人确认收到了投诉。对于针对获证组织的投诉，</w:t>
      </w:r>
      <w:r>
        <w:rPr>
          <w:rFonts w:hint="eastAsia" w:ascii="宋体" w:hAnsi="宋体" w:eastAsia="宋体" w:cs="宋体"/>
          <w:color w:val="auto"/>
          <w:sz w:val="21"/>
          <w:szCs w:val="21"/>
          <w:highlight w:val="none"/>
          <w:lang w:val="en-US" w:eastAsia="zh-CN"/>
        </w:rPr>
        <w:t>运营</w:t>
      </w:r>
      <w:r>
        <w:rPr>
          <w:rFonts w:hint="eastAsia" w:ascii="宋体" w:hAnsi="宋体" w:eastAsia="宋体" w:cs="宋体"/>
          <w:color w:val="auto"/>
          <w:sz w:val="21"/>
          <w:szCs w:val="21"/>
          <w:highlight w:val="none"/>
          <w:lang w:eastAsia="zh-CN"/>
        </w:rPr>
        <w:t>部</w:t>
      </w:r>
      <w:r>
        <w:rPr>
          <w:rFonts w:hint="eastAsia" w:ascii="宋体" w:hAnsi="宋体" w:eastAsia="宋体" w:cs="宋体"/>
          <w:color w:val="auto"/>
          <w:sz w:val="21"/>
          <w:szCs w:val="21"/>
          <w:highlight w:val="none"/>
        </w:rPr>
        <w:t>应在适当的时间将投诉告知该获证组织。</w:t>
      </w:r>
    </w:p>
    <w:p w14:paraId="77366D21">
      <w:pPr>
        <w:pStyle w:val="81"/>
        <w:keepNext w:val="0"/>
        <w:keepLines w:val="0"/>
        <w:pageBreakBefore w:val="0"/>
        <w:widowControl w:val="0"/>
        <w:numPr>
          <w:ilvl w:val="2"/>
          <w:numId w:val="0"/>
        </w:numPr>
        <w:tabs>
          <w:tab w:val="left" w:pos="1120"/>
        </w:tabs>
        <w:kinsoku/>
        <w:wordWrap/>
        <w:overflowPunct/>
        <w:topLinePunct w:val="0"/>
        <w:autoSpaceDE w:val="0"/>
        <w:autoSpaceDN w:val="0"/>
        <w:bidi w:val="0"/>
        <w:adjustRightInd/>
        <w:snapToGrid/>
        <w:spacing w:before="0" w:after="0" w:line="360" w:lineRule="auto"/>
        <w:ind w:left="1120" w:leftChars="0" w:right="0" w:rightChars="0" w:hanging="576"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6.2.4</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对申请方或获证组织投诉处理</w:t>
      </w:r>
    </w:p>
    <w:p w14:paraId="4FDF5695">
      <w:pPr>
        <w:pStyle w:val="16"/>
        <w:keepNext w:val="0"/>
        <w:keepLines w:val="0"/>
        <w:pageBreakBefore w:val="0"/>
        <w:widowControl w:val="0"/>
        <w:kinsoku/>
        <w:wordWrap/>
        <w:overflowPunct/>
        <w:topLinePunct w:val="0"/>
        <w:autoSpaceDE w:val="0"/>
        <w:autoSpaceDN w:val="0"/>
        <w:bidi w:val="0"/>
        <w:adjustRightInd/>
        <w:snapToGrid/>
        <w:spacing w:before="14" w:line="360" w:lineRule="auto"/>
        <w:ind w:right="196" w:firstLine="43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运营</w:t>
      </w:r>
      <w:r>
        <w:rPr>
          <w:rFonts w:hint="eastAsia" w:ascii="宋体" w:hAnsi="宋体" w:eastAsia="宋体" w:cs="宋体"/>
          <w:color w:val="auto"/>
          <w:sz w:val="21"/>
          <w:szCs w:val="21"/>
          <w:highlight w:val="none"/>
          <w:lang w:eastAsia="zh-CN"/>
        </w:rPr>
        <w:t>部</w:t>
      </w:r>
      <w:r>
        <w:rPr>
          <w:rFonts w:hint="eastAsia" w:ascii="宋体" w:hAnsi="宋体" w:eastAsia="宋体" w:cs="宋体"/>
          <w:color w:val="auto"/>
          <w:sz w:val="21"/>
          <w:szCs w:val="21"/>
          <w:highlight w:val="none"/>
        </w:rPr>
        <w:t>接到有关申请方或获证组织管理体系不符合标准的书面投诉时，应在一个月内对此进行处理，</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根据投诉信息的内容和性质，要求申请者或获证组织做出说明。并可采取下列形式之一：</w:t>
      </w:r>
    </w:p>
    <w:p w14:paraId="486707EF">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0" w:after="0" w:line="360" w:lineRule="auto"/>
        <w:ind w:left="107" w:leftChars="0" w:right="247"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w:t>
      </w:r>
      <w:r>
        <w:rPr>
          <w:rFonts w:hint="eastAsia" w:ascii="宋体" w:hAnsi="宋体" w:eastAsia="宋体" w:cs="宋体"/>
          <w:color w:val="auto"/>
          <w:sz w:val="21"/>
          <w:szCs w:val="21"/>
          <w:highlight w:val="none"/>
        </w:rPr>
        <w:t>属严重投诉时，立即暂停证书使用，进行现场调查核实，充分了解投诉及事项的全部信息获取必要证据；必要时（重大事故）10</w:t>
      </w:r>
      <w:r>
        <w:rPr>
          <w:rFonts w:hint="eastAsia" w:ascii="宋体" w:hAnsi="宋体" w:eastAsia="宋体" w:cs="宋体"/>
          <w:color w:val="auto"/>
          <w:spacing w:val="-3"/>
          <w:sz w:val="21"/>
          <w:szCs w:val="21"/>
          <w:highlight w:val="none"/>
        </w:rPr>
        <w:t xml:space="preserve"> 工作日内将事故调查核实情况及拟采取的措施报告认可机构；</w:t>
      </w:r>
    </w:p>
    <w:p w14:paraId="32B52158">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0"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2)</w:t>
      </w:r>
      <w:r>
        <w:rPr>
          <w:rFonts w:hint="eastAsia" w:ascii="宋体" w:hAnsi="宋体" w:eastAsia="宋体" w:cs="宋体"/>
          <w:color w:val="auto"/>
          <w:sz w:val="21"/>
          <w:szCs w:val="21"/>
          <w:highlight w:val="none"/>
        </w:rPr>
        <w:t>属一般投诉时，根据投诉内容决定是否进行复审或把投诉的内容列入下次监督审核中；</w:t>
      </w:r>
    </w:p>
    <w:p w14:paraId="05ED4A45">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5" w:after="0" w:line="360" w:lineRule="auto"/>
        <w:ind w:left="107" w:leftChars="0" w:right="247"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3)</w:t>
      </w:r>
      <w:r>
        <w:rPr>
          <w:rFonts w:hint="eastAsia" w:ascii="宋体" w:hAnsi="宋体" w:eastAsia="宋体" w:cs="宋体"/>
          <w:color w:val="auto"/>
          <w:sz w:val="21"/>
          <w:szCs w:val="21"/>
          <w:highlight w:val="none"/>
        </w:rPr>
        <w:t>由于投诉处理结果导致其认可状态发生改变的，申请认证或获得认证组织有权在接到投诉处理决定或</w:t>
      </w:r>
      <w:r>
        <w:rPr>
          <w:rFonts w:hint="eastAsia" w:ascii="宋体" w:hAnsi="宋体" w:eastAsia="宋体" w:cs="宋体"/>
          <w:color w:val="auto"/>
          <w:sz w:val="21"/>
          <w:szCs w:val="21"/>
          <w:highlight w:val="none"/>
          <w:lang w:val="en-US" w:eastAsia="zh-CN"/>
        </w:rPr>
        <w:t>认证</w:t>
      </w:r>
      <w:r>
        <w:rPr>
          <w:rFonts w:hint="eastAsia" w:ascii="宋体" w:hAnsi="宋体" w:eastAsia="宋体" w:cs="宋体"/>
          <w:color w:val="auto"/>
          <w:spacing w:val="-2"/>
          <w:sz w:val="21"/>
          <w:szCs w:val="21"/>
          <w:highlight w:val="none"/>
        </w:rPr>
        <w:t xml:space="preserve">决定后的 </w:t>
      </w:r>
      <w:r>
        <w:rPr>
          <w:rFonts w:hint="eastAsia" w:ascii="宋体" w:hAnsi="宋体" w:eastAsia="宋体" w:cs="宋体"/>
          <w:color w:val="auto"/>
          <w:sz w:val="21"/>
          <w:szCs w:val="21"/>
          <w:highlight w:val="none"/>
        </w:rPr>
        <w:t>10</w:t>
      </w:r>
      <w:r>
        <w:rPr>
          <w:rFonts w:hint="eastAsia" w:ascii="宋体" w:hAnsi="宋体" w:eastAsia="宋体" w:cs="宋体"/>
          <w:color w:val="auto"/>
          <w:spacing w:val="-3"/>
          <w:sz w:val="21"/>
          <w:szCs w:val="21"/>
          <w:highlight w:val="none"/>
        </w:rPr>
        <w:t xml:space="preserve"> 个工作日内提出申诉；</w:t>
      </w:r>
    </w:p>
    <w:p w14:paraId="14E5756F">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0"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4)</w:t>
      </w:r>
      <w:r>
        <w:rPr>
          <w:rFonts w:hint="eastAsia" w:ascii="宋体" w:hAnsi="宋体" w:eastAsia="宋体" w:cs="宋体"/>
          <w:color w:val="auto"/>
          <w:sz w:val="21"/>
          <w:szCs w:val="21"/>
          <w:highlight w:val="none"/>
        </w:rPr>
        <w:t>严重及一般投诉的界定应考虑其内容、性质是否对管理体系造成严重影响或造成其他严重后果。</w:t>
      </w:r>
    </w:p>
    <w:p w14:paraId="424FA886">
      <w:pPr>
        <w:pStyle w:val="16"/>
        <w:keepNext w:val="0"/>
        <w:keepLines w:val="0"/>
        <w:pageBreakBefore w:val="0"/>
        <w:widowControl w:val="0"/>
        <w:kinsoku/>
        <w:wordWrap/>
        <w:overflowPunct/>
        <w:topLinePunct w:val="0"/>
        <w:autoSpaceDE w:val="0"/>
        <w:autoSpaceDN w:val="0"/>
        <w:bidi w:val="0"/>
        <w:adjustRightInd/>
        <w:snapToGrid/>
        <w:spacing w:before="11" w:line="360" w:lineRule="auto"/>
        <w:ind w:right="245" w:firstLine="43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en-US" w:bidi="ar-SA"/>
        </w:rPr>
        <w:t>以下投诉为严重投诉：受到主管部门处罚；在新闻媒体曝光；严重违反法律法规要求；发生严重质量、环境、安全安</w:t>
      </w:r>
      <w:r>
        <w:rPr>
          <w:rFonts w:hint="eastAsia" w:ascii="宋体" w:hAnsi="宋体" w:eastAsia="宋体" w:cs="宋体"/>
          <w:color w:val="auto"/>
          <w:sz w:val="21"/>
          <w:szCs w:val="21"/>
          <w:highlight w:val="none"/>
        </w:rPr>
        <w:t>全事故造成的伤亡、严重财产损失、启动产品召回、造成环境严重污染等。</w:t>
      </w:r>
    </w:p>
    <w:p w14:paraId="2D525EF8">
      <w:pPr>
        <w:pStyle w:val="81"/>
        <w:keepNext w:val="0"/>
        <w:keepLines w:val="0"/>
        <w:pageBreakBefore w:val="0"/>
        <w:widowControl w:val="0"/>
        <w:numPr>
          <w:ilvl w:val="2"/>
          <w:numId w:val="0"/>
        </w:numPr>
        <w:tabs>
          <w:tab w:val="left" w:pos="1120"/>
        </w:tabs>
        <w:kinsoku/>
        <w:wordWrap/>
        <w:overflowPunct/>
        <w:topLinePunct w:val="0"/>
        <w:autoSpaceDE w:val="0"/>
        <w:autoSpaceDN w:val="0"/>
        <w:bidi w:val="0"/>
        <w:adjustRightInd/>
        <w:snapToGrid/>
        <w:spacing w:before="0" w:after="0" w:line="360" w:lineRule="auto"/>
        <w:ind w:left="1120" w:leftChars="0" w:right="0" w:rightChars="0" w:hanging="576"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6.2.5</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其他投诉的处理</w:t>
      </w:r>
    </w:p>
    <w:p w14:paraId="313B6B28">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2" w:after="0" w:line="360" w:lineRule="auto"/>
        <w:ind w:left="107" w:leftChars="0" w:right="248"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w:t>
      </w:r>
      <w:r>
        <w:rPr>
          <w:rFonts w:hint="eastAsia" w:ascii="宋体" w:hAnsi="宋体" w:eastAsia="宋体" w:cs="宋体"/>
          <w:color w:val="auto"/>
          <w:spacing w:val="-1"/>
          <w:sz w:val="21"/>
          <w:szCs w:val="21"/>
          <w:highlight w:val="none"/>
        </w:rPr>
        <w:t>当</w:t>
      </w:r>
      <w:r>
        <w:rPr>
          <w:rFonts w:hint="eastAsia" w:ascii="宋体" w:hAnsi="宋体" w:eastAsia="宋体" w:cs="宋体"/>
          <w:color w:val="auto"/>
          <w:spacing w:val="-1"/>
          <w:sz w:val="21"/>
          <w:szCs w:val="21"/>
          <w:highlight w:val="none"/>
          <w:lang w:eastAsia="zh-CN"/>
        </w:rPr>
        <w:t>春晖国际认证</w:t>
      </w:r>
      <w:r>
        <w:rPr>
          <w:rFonts w:hint="eastAsia" w:ascii="宋体" w:hAnsi="宋体" w:eastAsia="宋体" w:cs="宋体"/>
          <w:color w:val="auto"/>
          <w:spacing w:val="-1"/>
          <w:sz w:val="21"/>
          <w:szCs w:val="21"/>
          <w:highlight w:val="none"/>
        </w:rPr>
        <w:t>接到其它方面的投诉：如关于审核员或其他工作人员的书面投诉时，由</w:t>
      </w:r>
      <w:r>
        <w:rPr>
          <w:rFonts w:hint="eastAsia" w:ascii="宋体" w:hAnsi="宋体" w:eastAsia="宋体" w:cs="宋体"/>
          <w:color w:val="auto"/>
          <w:sz w:val="21"/>
          <w:szCs w:val="21"/>
          <w:highlight w:val="none"/>
          <w:lang w:val="en-US" w:eastAsia="zh-CN"/>
        </w:rPr>
        <w:t>运营</w:t>
      </w:r>
      <w:r>
        <w:rPr>
          <w:rFonts w:hint="eastAsia" w:ascii="宋体" w:hAnsi="宋体" w:eastAsia="宋体" w:cs="宋体"/>
          <w:color w:val="auto"/>
          <w:spacing w:val="-1"/>
          <w:sz w:val="21"/>
          <w:szCs w:val="21"/>
          <w:highlight w:val="none"/>
          <w:lang w:eastAsia="zh-CN"/>
        </w:rPr>
        <w:t>部</w:t>
      </w:r>
      <w:r>
        <w:rPr>
          <w:rFonts w:hint="eastAsia" w:ascii="宋体" w:hAnsi="宋体" w:eastAsia="宋体" w:cs="宋体"/>
          <w:color w:val="auto"/>
          <w:spacing w:val="-1"/>
          <w:sz w:val="21"/>
          <w:szCs w:val="21"/>
          <w:highlight w:val="none"/>
        </w:rPr>
        <w:t xml:space="preserve">在 </w:t>
      </w:r>
      <w:r>
        <w:rPr>
          <w:rFonts w:hint="eastAsia" w:ascii="宋体" w:hAnsi="宋体" w:eastAsia="宋体" w:cs="宋体"/>
          <w:color w:val="auto"/>
          <w:sz w:val="21"/>
          <w:szCs w:val="21"/>
          <w:highlight w:val="none"/>
        </w:rPr>
        <w:t>30</w:t>
      </w:r>
      <w:r>
        <w:rPr>
          <w:rFonts w:hint="eastAsia" w:ascii="宋体" w:hAnsi="宋体" w:eastAsia="宋体" w:cs="宋体"/>
          <w:color w:val="auto"/>
          <w:spacing w:val="-2"/>
          <w:sz w:val="21"/>
          <w:szCs w:val="21"/>
          <w:highlight w:val="none"/>
        </w:rPr>
        <w:t xml:space="preserve"> 天内组织进行调查，在调查时注意采取回避制度；</w:t>
      </w:r>
    </w:p>
    <w:p w14:paraId="48578BCE">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0"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2)</w:t>
      </w:r>
      <w:r>
        <w:rPr>
          <w:rFonts w:hint="eastAsia" w:ascii="宋体" w:hAnsi="宋体" w:eastAsia="宋体" w:cs="宋体"/>
          <w:color w:val="auto"/>
          <w:sz w:val="21"/>
          <w:szCs w:val="21"/>
          <w:highlight w:val="none"/>
        </w:rPr>
        <w:t>当投诉涉及人员风纪问题，</w:t>
      </w:r>
      <w:r>
        <w:rPr>
          <w:rFonts w:hint="eastAsia" w:ascii="宋体" w:hAnsi="宋体" w:eastAsia="宋体" w:cs="宋体"/>
          <w:color w:val="auto"/>
          <w:sz w:val="21"/>
          <w:szCs w:val="21"/>
          <w:highlight w:val="none"/>
          <w:lang w:val="en-US" w:eastAsia="zh-CN"/>
        </w:rPr>
        <w:t>运营</w:t>
      </w:r>
      <w:r>
        <w:rPr>
          <w:rFonts w:hint="eastAsia" w:ascii="宋体" w:hAnsi="宋体" w:eastAsia="宋体" w:cs="宋体"/>
          <w:color w:val="auto"/>
          <w:sz w:val="21"/>
          <w:szCs w:val="21"/>
          <w:highlight w:val="none"/>
          <w:lang w:eastAsia="zh-CN"/>
        </w:rPr>
        <w:t>部</w:t>
      </w:r>
      <w:r>
        <w:rPr>
          <w:rFonts w:hint="eastAsia" w:ascii="宋体" w:hAnsi="宋体" w:eastAsia="宋体" w:cs="宋体"/>
          <w:color w:val="auto"/>
          <w:sz w:val="21"/>
          <w:szCs w:val="21"/>
          <w:highlight w:val="none"/>
        </w:rPr>
        <w:t>应将有关情况转给技术委员会，由技术委员会组织进行调查；</w:t>
      </w:r>
    </w:p>
    <w:p w14:paraId="7B334A20">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1"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3)</w:t>
      </w:r>
      <w:r>
        <w:rPr>
          <w:rFonts w:hint="eastAsia" w:ascii="宋体" w:hAnsi="宋体" w:eastAsia="宋体" w:cs="宋体"/>
          <w:color w:val="auto"/>
          <w:sz w:val="21"/>
          <w:szCs w:val="21"/>
          <w:highlight w:val="none"/>
        </w:rPr>
        <w:t>涉及管理层违背公正性要求、认可准则的投诉由公正性委员会负责调查处理；</w:t>
      </w:r>
    </w:p>
    <w:p w14:paraId="71E7F8E4">
      <w:pPr>
        <w:pStyle w:val="81"/>
        <w:keepNext w:val="0"/>
        <w:keepLines w:val="0"/>
        <w:pageBreakBefore w:val="0"/>
        <w:widowControl w:val="0"/>
        <w:numPr>
          <w:ilvl w:val="2"/>
          <w:numId w:val="0"/>
        </w:numPr>
        <w:tabs>
          <w:tab w:val="left" w:pos="1120"/>
        </w:tabs>
        <w:kinsoku/>
        <w:wordWrap/>
        <w:overflowPunct/>
        <w:topLinePunct w:val="0"/>
        <w:autoSpaceDE w:val="0"/>
        <w:autoSpaceDN w:val="0"/>
        <w:bidi w:val="0"/>
        <w:adjustRightInd/>
        <w:snapToGrid/>
        <w:spacing w:before="14" w:after="0" w:line="360" w:lineRule="auto"/>
        <w:ind w:left="1120" w:leftChars="0" w:right="0" w:rightChars="0" w:hanging="576"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6.2.6</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处理决定及反馈</w:t>
      </w:r>
    </w:p>
    <w:p w14:paraId="1503DEC4">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3"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w:t>
      </w:r>
      <w:r>
        <w:rPr>
          <w:rFonts w:hint="eastAsia" w:ascii="宋体" w:hAnsi="宋体" w:eastAsia="宋体" w:cs="宋体"/>
          <w:color w:val="auto"/>
          <w:spacing w:val="-2"/>
          <w:sz w:val="21"/>
          <w:szCs w:val="21"/>
          <w:highlight w:val="none"/>
        </w:rPr>
        <w:t xml:space="preserve">投诉处理原则上应在 </w:t>
      </w:r>
      <w:r>
        <w:rPr>
          <w:rFonts w:hint="eastAsia" w:ascii="宋体" w:hAnsi="宋体" w:eastAsia="宋体" w:cs="宋体"/>
          <w:color w:val="auto"/>
          <w:sz w:val="21"/>
          <w:szCs w:val="21"/>
          <w:highlight w:val="none"/>
        </w:rPr>
        <w:t>2</w:t>
      </w:r>
      <w:r>
        <w:rPr>
          <w:rFonts w:hint="eastAsia" w:ascii="宋体" w:hAnsi="宋体" w:eastAsia="宋体" w:cs="宋体"/>
          <w:color w:val="auto"/>
          <w:spacing w:val="-3"/>
          <w:sz w:val="21"/>
          <w:szCs w:val="21"/>
          <w:highlight w:val="none"/>
        </w:rPr>
        <w:t xml:space="preserve"> 个月内完成；</w:t>
      </w:r>
    </w:p>
    <w:p w14:paraId="1238176E">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2" w:after="0" w:line="360" w:lineRule="auto"/>
        <w:ind w:left="107" w:leftChars="0" w:right="247"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2)</w:t>
      </w:r>
      <w:r>
        <w:rPr>
          <w:rFonts w:hint="eastAsia" w:ascii="宋体" w:hAnsi="宋体" w:eastAsia="宋体" w:cs="宋体"/>
          <w:color w:val="auto"/>
          <w:sz w:val="21"/>
          <w:szCs w:val="21"/>
          <w:highlight w:val="none"/>
          <w:lang w:val="en-US" w:eastAsia="zh-CN"/>
        </w:rPr>
        <w:t>运营</w:t>
      </w:r>
      <w:r>
        <w:rPr>
          <w:rFonts w:hint="eastAsia" w:ascii="宋体" w:hAnsi="宋体" w:eastAsia="宋体" w:cs="宋体"/>
          <w:color w:val="auto"/>
          <w:sz w:val="21"/>
          <w:szCs w:val="21"/>
          <w:highlight w:val="none"/>
          <w:lang w:eastAsia="zh-CN"/>
        </w:rPr>
        <w:t>部</w:t>
      </w:r>
      <w:r>
        <w:rPr>
          <w:rFonts w:hint="eastAsia" w:ascii="宋体" w:hAnsi="宋体" w:eastAsia="宋体" w:cs="宋体"/>
          <w:color w:val="auto"/>
          <w:sz w:val="21"/>
          <w:szCs w:val="21"/>
          <w:highlight w:val="none"/>
        </w:rPr>
        <w:t>在调查结束后，应及时对投诉内容做出书面的调查报告，对投诉的决定应由与投诉事项无关的人员做出，或经其审查和批准，处理决定记入《投诉和申诉处理表》，并应告知投诉人；</w:t>
      </w:r>
    </w:p>
    <w:p w14:paraId="1A13C0B4">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0" w:after="0" w:line="360" w:lineRule="auto"/>
        <w:ind w:left="107" w:leftChars="0" w:right="247"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3)</w:t>
      </w:r>
      <w:r>
        <w:rPr>
          <w:rFonts w:hint="eastAsia" w:ascii="宋体" w:hAnsi="宋体" w:eastAsia="宋体" w:cs="宋体"/>
          <w:color w:val="auto"/>
          <w:sz w:val="21"/>
          <w:szCs w:val="21"/>
          <w:highlight w:val="none"/>
          <w:lang w:val="en-US" w:eastAsia="zh-CN"/>
        </w:rPr>
        <w:t>运营</w:t>
      </w:r>
      <w:r>
        <w:rPr>
          <w:rFonts w:hint="eastAsia" w:ascii="宋体" w:hAnsi="宋体" w:eastAsia="宋体" w:cs="宋体"/>
          <w:color w:val="auto"/>
          <w:sz w:val="21"/>
          <w:szCs w:val="21"/>
          <w:highlight w:val="none"/>
          <w:lang w:eastAsia="zh-CN"/>
        </w:rPr>
        <w:t>部</w:t>
      </w:r>
      <w:r>
        <w:rPr>
          <w:rFonts w:hint="eastAsia" w:ascii="宋体" w:hAnsi="宋体" w:eastAsia="宋体" w:cs="宋体"/>
          <w:color w:val="auto"/>
          <w:sz w:val="21"/>
          <w:szCs w:val="21"/>
          <w:highlight w:val="none"/>
        </w:rPr>
        <w:t>应跟踪和记录投诉，包括为回应投诉而采取的措施，处理结果记入《投诉和申诉处理表》；必要时报认可委方和其它相关机构；</w:t>
      </w:r>
    </w:p>
    <w:p w14:paraId="315BC002">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0"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4)</w:t>
      </w:r>
      <w:r>
        <w:rPr>
          <w:rFonts w:hint="eastAsia" w:ascii="宋体" w:hAnsi="宋体" w:eastAsia="宋体" w:cs="宋体"/>
          <w:color w:val="auto"/>
          <w:spacing w:val="-1"/>
          <w:sz w:val="21"/>
          <w:szCs w:val="21"/>
          <w:highlight w:val="none"/>
        </w:rPr>
        <w:t xml:space="preserve">投诉人对投诉决定不服的，有权在接到投诉处理决定后的 </w:t>
      </w:r>
      <w:r>
        <w:rPr>
          <w:rFonts w:hint="eastAsia" w:ascii="宋体" w:hAnsi="宋体" w:eastAsia="宋体" w:cs="宋体"/>
          <w:color w:val="auto"/>
          <w:sz w:val="21"/>
          <w:szCs w:val="21"/>
          <w:highlight w:val="none"/>
        </w:rPr>
        <w:t>10</w:t>
      </w:r>
      <w:r>
        <w:rPr>
          <w:rFonts w:hint="eastAsia" w:ascii="宋体" w:hAnsi="宋体" w:eastAsia="宋体" w:cs="宋体"/>
          <w:color w:val="auto"/>
          <w:spacing w:val="-3"/>
          <w:sz w:val="21"/>
          <w:szCs w:val="21"/>
          <w:highlight w:val="none"/>
        </w:rPr>
        <w:t xml:space="preserve"> 个工作日内提出申诉；</w:t>
      </w:r>
    </w:p>
    <w:p w14:paraId="1D0DEB63">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2"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5)</w:t>
      </w:r>
      <w:r>
        <w:rPr>
          <w:rFonts w:hint="eastAsia" w:ascii="宋体" w:hAnsi="宋体" w:eastAsia="宋体" w:cs="宋体"/>
          <w:color w:val="auto"/>
          <w:sz w:val="21"/>
          <w:szCs w:val="21"/>
          <w:highlight w:val="none"/>
        </w:rPr>
        <w:t>投诉处理需延期时，应由技委会主任批准；</w:t>
      </w:r>
    </w:p>
    <w:p w14:paraId="12D113CD">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41"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6)</w:t>
      </w:r>
      <w:r>
        <w:rPr>
          <w:rFonts w:hint="eastAsia" w:ascii="宋体" w:hAnsi="宋体" w:eastAsia="宋体" w:cs="宋体"/>
          <w:color w:val="auto"/>
          <w:sz w:val="21"/>
          <w:szCs w:val="21"/>
          <w:highlight w:val="none"/>
        </w:rPr>
        <w:t>若有关方面不满意有关处理决定，</w:t>
      </w:r>
      <w:r>
        <w:rPr>
          <w:rFonts w:hint="eastAsia" w:ascii="宋体" w:hAnsi="宋体" w:eastAsia="宋体" w:cs="宋体"/>
          <w:color w:val="auto"/>
          <w:position w:val="-5"/>
          <w:sz w:val="21"/>
          <w:szCs w:val="21"/>
          <w:highlight w:val="none"/>
        </w:rPr>
        <w:t>可以直接向认证监管部门投诉；</w:t>
      </w:r>
    </w:p>
    <w:p w14:paraId="2BC17DFB">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29"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7)</w:t>
      </w:r>
      <w:r>
        <w:rPr>
          <w:rFonts w:hint="eastAsia" w:ascii="宋体" w:hAnsi="宋体" w:eastAsia="宋体" w:cs="宋体"/>
          <w:color w:val="auto"/>
          <w:sz w:val="21"/>
          <w:szCs w:val="21"/>
          <w:highlight w:val="none"/>
        </w:rPr>
        <w:t>在可能时，</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应在投诉处理过程结束时正式通知投诉人；</w:t>
      </w:r>
    </w:p>
    <w:p w14:paraId="0CF5C9E4">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27"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8)</w:t>
      </w:r>
      <w:r>
        <w:rPr>
          <w:rFonts w:hint="eastAsia" w:ascii="宋体" w:hAnsi="宋体" w:eastAsia="宋体" w:cs="宋体"/>
          <w:color w:val="auto"/>
          <w:spacing w:val="-4"/>
          <w:sz w:val="21"/>
          <w:szCs w:val="21"/>
          <w:highlight w:val="none"/>
          <w:lang w:eastAsia="zh-CN"/>
        </w:rPr>
        <w:t>春晖国际认证</w:t>
      </w:r>
      <w:r>
        <w:rPr>
          <w:rFonts w:hint="eastAsia" w:ascii="宋体" w:hAnsi="宋体" w:eastAsia="宋体" w:cs="宋体"/>
          <w:color w:val="auto"/>
          <w:spacing w:val="-4"/>
          <w:sz w:val="21"/>
          <w:szCs w:val="21"/>
          <w:highlight w:val="none"/>
        </w:rPr>
        <w:t>应与客户及投诉人共同决定是否应将投诉事项公开，并在决定公开时，共同确定公开的程度。</w:t>
      </w:r>
    </w:p>
    <w:p w14:paraId="7D265D61">
      <w:pPr>
        <w:pStyle w:val="81"/>
        <w:keepNext w:val="0"/>
        <w:keepLines w:val="0"/>
        <w:pageBreakBefore w:val="0"/>
        <w:widowControl w:val="0"/>
        <w:numPr>
          <w:ilvl w:val="1"/>
          <w:numId w:val="0"/>
        </w:numPr>
        <w:tabs>
          <w:tab w:val="left" w:pos="945"/>
        </w:tabs>
        <w:kinsoku/>
        <w:wordWrap/>
        <w:overflowPunct/>
        <w:topLinePunct w:val="0"/>
        <w:autoSpaceDE w:val="0"/>
        <w:autoSpaceDN w:val="0"/>
        <w:bidi w:val="0"/>
        <w:adjustRightInd/>
        <w:snapToGrid/>
        <w:spacing w:before="0" w:after="0" w:line="360" w:lineRule="auto"/>
        <w:ind w:left="944" w:leftChars="0" w:right="0" w:rightChars="0" w:hanging="40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6.3</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争议</w:t>
      </w:r>
    </w:p>
    <w:p w14:paraId="39DD9D2F">
      <w:pPr>
        <w:pStyle w:val="81"/>
        <w:keepNext w:val="0"/>
        <w:keepLines w:val="0"/>
        <w:pageBreakBefore w:val="0"/>
        <w:widowControl w:val="0"/>
        <w:numPr>
          <w:ilvl w:val="2"/>
          <w:numId w:val="0"/>
        </w:numPr>
        <w:tabs>
          <w:tab w:val="left" w:pos="1120"/>
        </w:tabs>
        <w:kinsoku/>
        <w:wordWrap/>
        <w:overflowPunct/>
        <w:topLinePunct w:val="0"/>
        <w:autoSpaceDE w:val="0"/>
        <w:autoSpaceDN w:val="0"/>
        <w:bidi w:val="0"/>
        <w:adjustRightInd/>
        <w:snapToGrid/>
        <w:spacing w:before="18" w:after="0" w:line="360" w:lineRule="auto"/>
        <w:ind w:left="1120" w:leftChars="0" w:right="0" w:rightChars="0" w:hanging="576"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6.3.1</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争议的受理</w:t>
      </w:r>
    </w:p>
    <w:p w14:paraId="5BC62112">
      <w:pPr>
        <w:pStyle w:val="16"/>
        <w:keepNext w:val="0"/>
        <w:keepLines w:val="0"/>
        <w:pageBreakBefore w:val="0"/>
        <w:widowControl w:val="0"/>
        <w:kinsoku/>
        <w:wordWrap/>
        <w:overflowPunct/>
        <w:topLinePunct w:val="0"/>
        <w:autoSpaceDE w:val="0"/>
        <w:autoSpaceDN w:val="0"/>
        <w:bidi w:val="0"/>
        <w:adjustRightInd/>
        <w:snapToGrid/>
        <w:spacing w:before="71" w:line="360" w:lineRule="auto"/>
        <w:ind w:right="245" w:firstLine="43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在认证审核过程中提出的争议，一般由审核组长与受审核方依据认证要求协商处理。对经协商仍不能取得一致意见的，审核组长可做出审核组的相关结论，但应将争议的情况在 10 个工作日内报告</w:t>
      </w:r>
      <w:r>
        <w:rPr>
          <w:rFonts w:hint="eastAsia" w:ascii="宋体" w:hAnsi="宋体" w:eastAsia="宋体" w:cs="宋体"/>
          <w:color w:val="auto"/>
          <w:sz w:val="21"/>
          <w:szCs w:val="21"/>
          <w:highlight w:val="none"/>
          <w:lang w:val="en-US" w:eastAsia="zh-CN"/>
        </w:rPr>
        <w:t>运营</w:t>
      </w:r>
      <w:r>
        <w:rPr>
          <w:rFonts w:hint="eastAsia" w:ascii="宋体" w:hAnsi="宋体" w:eastAsia="宋体" w:cs="宋体"/>
          <w:color w:val="auto"/>
          <w:sz w:val="21"/>
          <w:szCs w:val="21"/>
          <w:highlight w:val="none"/>
          <w:lang w:eastAsia="zh-CN"/>
        </w:rPr>
        <w:t>部</w:t>
      </w:r>
      <w:r>
        <w:rPr>
          <w:rFonts w:hint="eastAsia" w:ascii="宋体" w:hAnsi="宋体" w:eastAsia="宋体" w:cs="宋体"/>
          <w:color w:val="auto"/>
          <w:sz w:val="21"/>
          <w:szCs w:val="21"/>
          <w:highlight w:val="none"/>
        </w:rPr>
        <w:t>。受审核方也可以在 10 个工作日内将争议的事项向</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提出。</w:t>
      </w:r>
    </w:p>
    <w:p w14:paraId="58791620">
      <w:pPr>
        <w:pStyle w:val="16"/>
        <w:keepNext w:val="0"/>
        <w:keepLines w:val="0"/>
        <w:pageBreakBefore w:val="0"/>
        <w:widowControl w:val="0"/>
        <w:kinsoku/>
        <w:wordWrap/>
        <w:overflowPunct/>
        <w:topLinePunct w:val="0"/>
        <w:autoSpaceDE w:val="0"/>
        <w:autoSpaceDN w:val="0"/>
        <w:bidi w:val="0"/>
        <w:adjustRightInd/>
        <w:snapToGrid/>
        <w:spacing w:before="12" w:line="360" w:lineRule="auto"/>
        <w:ind w:right="245" w:firstLine="43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在其他场合发生的争议，相关方应在争议所涉及事件发生后 10 个工作日内以书面文件形式向</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lang w:val="en-US" w:eastAsia="zh-CN"/>
        </w:rPr>
        <w:t>运营</w:t>
      </w:r>
      <w:r>
        <w:rPr>
          <w:rFonts w:hint="eastAsia" w:ascii="宋体" w:hAnsi="宋体" w:eastAsia="宋体" w:cs="宋体"/>
          <w:color w:val="auto"/>
          <w:sz w:val="21"/>
          <w:szCs w:val="21"/>
          <w:highlight w:val="none"/>
          <w:lang w:eastAsia="zh-CN"/>
        </w:rPr>
        <w:t>部</w:t>
      </w:r>
      <w:r>
        <w:rPr>
          <w:rFonts w:hint="eastAsia" w:ascii="宋体" w:hAnsi="宋体" w:eastAsia="宋体" w:cs="宋体"/>
          <w:color w:val="auto"/>
          <w:sz w:val="21"/>
          <w:szCs w:val="21"/>
          <w:highlight w:val="none"/>
        </w:rPr>
        <w:t>提出。</w:t>
      </w:r>
    </w:p>
    <w:p w14:paraId="5DD72EAC">
      <w:pPr>
        <w:pStyle w:val="81"/>
        <w:keepNext w:val="0"/>
        <w:keepLines w:val="0"/>
        <w:pageBreakBefore w:val="0"/>
        <w:widowControl w:val="0"/>
        <w:numPr>
          <w:ilvl w:val="2"/>
          <w:numId w:val="0"/>
        </w:numPr>
        <w:tabs>
          <w:tab w:val="left" w:pos="1120"/>
        </w:tabs>
        <w:kinsoku/>
        <w:wordWrap/>
        <w:overflowPunct/>
        <w:topLinePunct w:val="0"/>
        <w:autoSpaceDE w:val="0"/>
        <w:autoSpaceDN w:val="0"/>
        <w:bidi w:val="0"/>
        <w:adjustRightInd/>
        <w:snapToGrid/>
        <w:spacing w:before="0" w:after="0" w:line="360" w:lineRule="auto"/>
        <w:ind w:left="1120" w:leftChars="0" w:right="0" w:rightChars="0" w:hanging="576"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6.3.2</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争议的处理</w:t>
      </w:r>
    </w:p>
    <w:p w14:paraId="52EDE79D">
      <w:pPr>
        <w:pStyle w:val="16"/>
        <w:keepNext w:val="0"/>
        <w:keepLines w:val="0"/>
        <w:pageBreakBefore w:val="0"/>
        <w:widowControl w:val="0"/>
        <w:kinsoku/>
        <w:wordWrap/>
        <w:overflowPunct/>
        <w:topLinePunct w:val="0"/>
        <w:autoSpaceDE w:val="0"/>
        <w:autoSpaceDN w:val="0"/>
        <w:bidi w:val="0"/>
        <w:adjustRightInd/>
        <w:snapToGrid/>
        <w:spacing w:before="11" w:line="360" w:lineRule="auto"/>
        <w:ind w:right="245" w:firstLine="436"/>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运营</w:t>
      </w:r>
      <w:r>
        <w:rPr>
          <w:rFonts w:hint="eastAsia" w:ascii="宋体" w:hAnsi="宋体" w:eastAsia="宋体" w:cs="宋体"/>
          <w:color w:val="auto"/>
          <w:sz w:val="21"/>
          <w:szCs w:val="21"/>
          <w:highlight w:val="none"/>
          <w:lang w:eastAsia="zh-CN"/>
        </w:rPr>
        <w:t>部</w:t>
      </w:r>
      <w:r>
        <w:rPr>
          <w:rFonts w:hint="eastAsia" w:ascii="宋体" w:hAnsi="宋体" w:eastAsia="宋体" w:cs="宋体"/>
          <w:color w:val="auto"/>
          <w:sz w:val="21"/>
          <w:szCs w:val="21"/>
          <w:highlight w:val="none"/>
        </w:rPr>
        <w:t>负责指定有关部门或人员研究提交的争议，并在收到争议后的 30 个工作日内将争议的处理结果通知争议提出人。争议提出人对处理结果不满意的，可以通过申诉、投诉程序向</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技术委员会提出申诉或投诉。</w:t>
      </w:r>
    </w:p>
    <w:p w14:paraId="53BC823C">
      <w:pPr>
        <w:keepNext w:val="0"/>
        <w:keepLines w:val="0"/>
        <w:pageBreakBefore w:val="0"/>
        <w:widowControl w:val="0"/>
        <w:kinsoku/>
        <w:wordWrap/>
        <w:overflowPunct/>
        <w:topLinePunct w:val="0"/>
        <w:autoSpaceDE w:val="0"/>
        <w:autoSpaceDN w:val="0"/>
        <w:bidi w:val="0"/>
        <w:adjustRightInd/>
        <w:snapToGrid/>
        <w:spacing w:before="0" w:line="360" w:lineRule="auto"/>
        <w:ind w:left="544" w:right="0" w:firstLine="0"/>
        <w:jc w:val="left"/>
        <w:textAlignment w:val="auto"/>
        <w:rPr>
          <w:rFonts w:hint="eastAsia" w:ascii="宋体" w:hAnsi="宋体" w:eastAsia="宋体" w:cs="宋体"/>
          <w:b/>
          <w:color w:val="auto"/>
          <w:sz w:val="21"/>
          <w:szCs w:val="21"/>
          <w:highlight w:val="none"/>
        </w:rPr>
      </w:pPr>
      <w:bookmarkStart w:id="18" w:name="_bookmark7"/>
      <w:bookmarkEnd w:id="18"/>
      <w:bookmarkStart w:id="19" w:name="七、认证证书及认证标志的使用方式说明"/>
      <w:bookmarkEnd w:id="19"/>
      <w:r>
        <w:rPr>
          <w:rFonts w:hint="eastAsia" w:ascii="宋体" w:hAnsi="宋体" w:eastAsia="宋体" w:cs="宋体"/>
          <w:color w:val="auto"/>
          <w:sz w:val="21"/>
          <w:szCs w:val="21"/>
          <w:highlight w:val="none"/>
        </w:rPr>
        <w:t>七、</w:t>
      </w:r>
      <w:r>
        <w:rPr>
          <w:rFonts w:hint="eastAsia" w:ascii="宋体" w:hAnsi="宋体" w:eastAsia="宋体" w:cs="宋体"/>
          <w:b/>
          <w:color w:val="auto"/>
          <w:sz w:val="21"/>
          <w:szCs w:val="21"/>
          <w:highlight w:val="none"/>
        </w:rPr>
        <w:t>认证证书及认证标志的使用方式说明</w:t>
      </w:r>
    </w:p>
    <w:p w14:paraId="12B5E9A5">
      <w:pPr>
        <w:pStyle w:val="16"/>
        <w:keepNext w:val="0"/>
        <w:keepLines w:val="0"/>
        <w:pageBreakBefore w:val="0"/>
        <w:widowControl w:val="0"/>
        <w:kinsoku/>
        <w:wordWrap/>
        <w:overflowPunct/>
        <w:topLinePunct w:val="0"/>
        <w:autoSpaceDE w:val="0"/>
        <w:autoSpaceDN w:val="0"/>
        <w:bidi w:val="0"/>
        <w:adjustRightInd/>
        <w:snapToGrid/>
        <w:spacing w:before="14" w:line="360" w:lineRule="auto"/>
        <w:ind w:right="245" w:firstLine="436"/>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认证证书和认证标志的使用必须遵守《中华人民共和国认证认可条例》“第二十五条 获得认证证书的，应当在认证范围内使用认证证书和认证标志，不得利用产品、服务认证证书、认证标志和相关文字、符号，误导公众认为其管理体系已通过认证，也不得利用管理体系认证证书、认证标志和相关文字、符号，误导公众认为</w:t>
      </w:r>
      <w:r>
        <w:rPr>
          <w:rFonts w:hint="eastAsia" w:ascii="宋体" w:hAnsi="宋体" w:eastAsia="宋体" w:cs="宋体"/>
          <w:color w:val="auto"/>
          <w:spacing w:val="-12"/>
          <w:sz w:val="21"/>
          <w:szCs w:val="21"/>
          <w:highlight w:val="none"/>
        </w:rPr>
        <w:t>其产品、服务已通过认证。”的规定。</w:t>
      </w:r>
    </w:p>
    <w:p w14:paraId="75683FC0">
      <w:pPr>
        <w:pStyle w:val="81"/>
        <w:keepNext w:val="0"/>
        <w:keepLines w:val="0"/>
        <w:pageBreakBefore w:val="0"/>
        <w:widowControl w:val="0"/>
        <w:numPr>
          <w:ilvl w:val="1"/>
          <w:numId w:val="0"/>
        </w:numPr>
        <w:tabs>
          <w:tab w:val="left" w:pos="945"/>
        </w:tabs>
        <w:kinsoku/>
        <w:wordWrap/>
        <w:overflowPunct/>
        <w:topLinePunct w:val="0"/>
        <w:autoSpaceDE w:val="0"/>
        <w:autoSpaceDN w:val="0"/>
        <w:bidi w:val="0"/>
        <w:adjustRightInd/>
        <w:snapToGrid/>
        <w:spacing w:before="3" w:after="0" w:line="360" w:lineRule="auto"/>
        <w:ind w:left="944" w:leftChars="0" w:right="0" w:rightChars="0" w:hanging="40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7.1</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获证组织向客户展示的认证证书应在认证有效期内；</w:t>
      </w:r>
    </w:p>
    <w:p w14:paraId="7311E4DF">
      <w:pPr>
        <w:pStyle w:val="81"/>
        <w:keepNext w:val="0"/>
        <w:keepLines w:val="0"/>
        <w:pageBreakBefore w:val="0"/>
        <w:widowControl w:val="0"/>
        <w:numPr>
          <w:ilvl w:val="1"/>
          <w:numId w:val="0"/>
        </w:numPr>
        <w:tabs>
          <w:tab w:val="left" w:pos="945"/>
        </w:tabs>
        <w:kinsoku/>
        <w:wordWrap/>
        <w:overflowPunct/>
        <w:topLinePunct w:val="0"/>
        <w:autoSpaceDE w:val="0"/>
        <w:autoSpaceDN w:val="0"/>
        <w:bidi w:val="0"/>
        <w:adjustRightInd/>
        <w:snapToGrid/>
        <w:spacing w:before="14" w:after="0" w:line="360" w:lineRule="auto"/>
        <w:ind w:left="107" w:leftChars="0" w:right="245" w:rightChars="0" w:firstLine="437"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7.2</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认证标志/认可标志不得应用于产品或产品包装之上，不得以任何其他可解释为表示产品符合性的方式使用。可以在产品包装上或者附带信息中使用如下声明：“***（获证组织名称或品牌）已通过</w:t>
      </w:r>
      <w:r>
        <w:rPr>
          <w:rFonts w:hint="eastAsia" w:ascii="宋体" w:hAnsi="宋体" w:eastAsia="宋体" w:cs="宋体"/>
          <w:color w:val="auto"/>
          <w:sz w:val="21"/>
          <w:szCs w:val="21"/>
          <w:highlight w:val="none"/>
          <w:lang w:eastAsia="zh-CN"/>
        </w:rPr>
        <w:t>春晖国际认证有限公司</w:t>
      </w:r>
      <w:r>
        <w:rPr>
          <w:rFonts w:hint="eastAsia" w:ascii="宋体" w:hAnsi="宋体" w:eastAsia="宋体" w:cs="宋体"/>
          <w:color w:val="auto"/>
          <w:sz w:val="21"/>
          <w:szCs w:val="21"/>
          <w:highlight w:val="none"/>
        </w:rPr>
        <w:t>授</w:t>
      </w:r>
      <w:r>
        <w:rPr>
          <w:rFonts w:hint="eastAsia" w:ascii="宋体" w:hAnsi="宋体" w:eastAsia="宋体" w:cs="宋体"/>
          <w:color w:val="auto"/>
          <w:spacing w:val="-2"/>
          <w:sz w:val="21"/>
          <w:szCs w:val="21"/>
          <w:highlight w:val="none"/>
        </w:rPr>
        <w:t xml:space="preserve">予的 </w:t>
      </w:r>
      <w:r>
        <w:rPr>
          <w:rFonts w:hint="eastAsia" w:ascii="宋体" w:hAnsi="宋体" w:eastAsia="宋体" w:cs="宋体"/>
          <w:color w:val="auto"/>
          <w:sz w:val="21"/>
          <w:szCs w:val="21"/>
          <w:highlight w:val="none"/>
        </w:rPr>
        <w:t>GB/T 19001–20**</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z w:val="21"/>
          <w:szCs w:val="21"/>
          <w:highlight w:val="none"/>
        </w:rPr>
        <w:t>idt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z w:val="21"/>
          <w:szCs w:val="21"/>
          <w:highlight w:val="none"/>
        </w:rPr>
        <w:t>ISO</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z w:val="21"/>
          <w:szCs w:val="21"/>
          <w:highlight w:val="none"/>
        </w:rPr>
        <w:t>9001:20**</w:t>
      </w:r>
      <w:r>
        <w:rPr>
          <w:rFonts w:hint="eastAsia" w:ascii="宋体" w:hAnsi="宋体" w:eastAsia="宋体" w:cs="宋体"/>
          <w:color w:val="auto"/>
          <w:spacing w:val="-11"/>
          <w:sz w:val="21"/>
          <w:szCs w:val="21"/>
          <w:highlight w:val="none"/>
        </w:rPr>
        <w:t>质量管理体系认证”。</w:t>
      </w:r>
    </w:p>
    <w:p w14:paraId="0AB7586A">
      <w:pPr>
        <w:pStyle w:val="81"/>
        <w:keepNext w:val="0"/>
        <w:keepLines w:val="0"/>
        <w:pageBreakBefore w:val="0"/>
        <w:widowControl w:val="0"/>
        <w:numPr>
          <w:ilvl w:val="1"/>
          <w:numId w:val="0"/>
        </w:numPr>
        <w:tabs>
          <w:tab w:val="left" w:pos="945"/>
        </w:tabs>
        <w:kinsoku/>
        <w:wordWrap/>
        <w:overflowPunct/>
        <w:topLinePunct w:val="0"/>
        <w:autoSpaceDE w:val="0"/>
        <w:autoSpaceDN w:val="0"/>
        <w:bidi w:val="0"/>
        <w:adjustRightInd/>
        <w:snapToGrid/>
        <w:spacing w:before="4" w:after="0" w:line="360" w:lineRule="auto"/>
        <w:ind w:left="944" w:leftChars="0" w:right="0" w:rightChars="0" w:hanging="400" w:firstLineChars="0"/>
        <w:jc w:val="left"/>
        <w:textAlignment w:val="auto"/>
        <w:rPr>
          <w:rFonts w:hint="eastAsia" w:ascii="宋体" w:hAnsi="宋体" w:eastAsia="宋体" w:cs="宋体"/>
          <w:color w:val="auto"/>
          <w:sz w:val="21"/>
          <w:szCs w:val="21"/>
          <w:highlight w:val="none"/>
          <w:lang w:val="en-US" w:eastAsia="en-US"/>
        </w:rPr>
      </w:pPr>
      <w:bookmarkStart w:id="20" w:name="八、再认证的申请"/>
      <w:bookmarkEnd w:id="20"/>
      <w:bookmarkStart w:id="21" w:name="_bookmark8"/>
      <w:bookmarkEnd w:id="21"/>
      <w:r>
        <w:rPr>
          <w:rFonts w:hint="eastAsia" w:ascii="宋体" w:hAnsi="宋体" w:eastAsia="宋体" w:cs="宋体"/>
          <w:color w:val="auto"/>
          <w:spacing w:val="-1"/>
          <w:w w:val="99"/>
          <w:sz w:val="21"/>
          <w:szCs w:val="21"/>
          <w:highlight w:val="none"/>
          <w:lang w:val="en-US" w:eastAsia="en-US" w:bidi="ar-SA"/>
        </w:rPr>
        <w:t>7.3</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lang w:val="en-US" w:eastAsia="en-US"/>
        </w:rPr>
        <w:t>体系认证证书、认证标志的使用</w:t>
      </w:r>
    </w:p>
    <w:p w14:paraId="18BE04E5">
      <w:pPr>
        <w:pStyle w:val="81"/>
        <w:keepNext w:val="0"/>
        <w:keepLines w:val="0"/>
        <w:pageBreakBefore w:val="0"/>
        <w:widowControl w:val="0"/>
        <w:numPr>
          <w:ilvl w:val="1"/>
          <w:numId w:val="0"/>
        </w:numPr>
        <w:tabs>
          <w:tab w:val="left" w:pos="945"/>
        </w:tabs>
        <w:kinsoku/>
        <w:wordWrap/>
        <w:overflowPunct/>
        <w:topLinePunct w:val="0"/>
        <w:autoSpaceDE w:val="0"/>
        <w:autoSpaceDN w:val="0"/>
        <w:bidi w:val="0"/>
        <w:adjustRightInd/>
        <w:snapToGrid/>
        <w:spacing w:before="4" w:after="0" w:line="360" w:lineRule="auto"/>
        <w:ind w:right="0" w:rightChars="0"/>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en-US"/>
        </w:rPr>
        <w:t>取得管理体系认证证书的组织，可以在宣传册中使用认证证书和管理体系认证标志，在各种媒体对认证的宣传，也可在订货会上展示；管理体系认证证书和认证标志不准以任何方式转让、出售或借用、冒用,使用时必须与获证方单位名称和产品名称放在一起，并将认证注册商标于认证标志的下方；</w:t>
      </w:r>
    </w:p>
    <w:p w14:paraId="5E1461C1">
      <w:pPr>
        <w:pStyle w:val="81"/>
        <w:keepNext w:val="0"/>
        <w:keepLines w:val="0"/>
        <w:pageBreakBefore w:val="0"/>
        <w:widowControl w:val="0"/>
        <w:numPr>
          <w:ilvl w:val="1"/>
          <w:numId w:val="0"/>
        </w:numPr>
        <w:tabs>
          <w:tab w:val="left" w:pos="945"/>
        </w:tabs>
        <w:kinsoku/>
        <w:wordWrap/>
        <w:overflowPunct/>
        <w:topLinePunct w:val="0"/>
        <w:autoSpaceDE w:val="0"/>
        <w:autoSpaceDN w:val="0"/>
        <w:bidi w:val="0"/>
        <w:adjustRightInd/>
        <w:snapToGrid/>
        <w:spacing w:before="4" w:after="0" w:line="360" w:lineRule="auto"/>
        <w:ind w:left="944" w:leftChars="0" w:right="0" w:rightChars="0" w:hanging="400" w:firstLineChars="0"/>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en-US"/>
        </w:rPr>
        <w:t>获证方在宣传时，不可单独使用</w:t>
      </w:r>
      <w:r>
        <w:rPr>
          <w:rFonts w:hint="eastAsia" w:ascii="宋体" w:hAnsi="宋体" w:eastAsia="宋体" w:cs="宋体"/>
          <w:color w:val="auto"/>
          <w:sz w:val="21"/>
          <w:szCs w:val="21"/>
          <w:highlight w:val="none"/>
          <w:lang w:val="en-US" w:eastAsia="zh-CN"/>
        </w:rPr>
        <w:t>CHRZ</w:t>
      </w:r>
      <w:r>
        <w:rPr>
          <w:rFonts w:hint="eastAsia" w:ascii="宋体" w:hAnsi="宋体" w:eastAsia="宋体" w:cs="宋体"/>
          <w:color w:val="auto"/>
          <w:sz w:val="21"/>
          <w:szCs w:val="21"/>
          <w:highlight w:val="none"/>
          <w:lang w:val="en-US" w:eastAsia="en-US"/>
        </w:rPr>
        <w:t>认证徽标、认可机构标志或国际互认联合标志；</w:t>
      </w:r>
    </w:p>
    <w:p w14:paraId="6E2BD859">
      <w:pPr>
        <w:pStyle w:val="81"/>
        <w:keepNext w:val="0"/>
        <w:keepLines w:val="0"/>
        <w:pageBreakBefore w:val="0"/>
        <w:widowControl w:val="0"/>
        <w:numPr>
          <w:ilvl w:val="1"/>
          <w:numId w:val="0"/>
        </w:numPr>
        <w:tabs>
          <w:tab w:val="left" w:pos="945"/>
        </w:tabs>
        <w:kinsoku/>
        <w:wordWrap/>
        <w:overflowPunct/>
        <w:topLinePunct w:val="0"/>
        <w:autoSpaceDE w:val="0"/>
        <w:autoSpaceDN w:val="0"/>
        <w:bidi w:val="0"/>
        <w:adjustRightInd/>
        <w:snapToGrid/>
        <w:spacing w:before="4" w:after="0" w:line="360" w:lineRule="auto"/>
        <w:ind w:left="944" w:leftChars="0" w:right="0" w:rightChars="0" w:hanging="400" w:firstLineChars="0"/>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en-US"/>
        </w:rPr>
        <w:t>管理体系认证证书有效期为三年，每年必须监督审核，监督审核合格后，发放监督合格标贴，获证方可继续使用管理体系认证证书；证书超过时效，无论什么原因都应立即停止使用证书；</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en-US"/>
        </w:rPr>
        <w:t xml:space="preserve"> </w:t>
      </w:r>
    </w:p>
    <w:p w14:paraId="27465311">
      <w:pPr>
        <w:pStyle w:val="81"/>
        <w:keepNext w:val="0"/>
        <w:keepLines w:val="0"/>
        <w:pageBreakBefore w:val="0"/>
        <w:widowControl w:val="0"/>
        <w:numPr>
          <w:ilvl w:val="1"/>
          <w:numId w:val="0"/>
        </w:numPr>
        <w:tabs>
          <w:tab w:val="left" w:pos="945"/>
        </w:tabs>
        <w:kinsoku/>
        <w:wordWrap/>
        <w:overflowPunct/>
        <w:topLinePunct w:val="0"/>
        <w:autoSpaceDE w:val="0"/>
        <w:autoSpaceDN w:val="0"/>
        <w:bidi w:val="0"/>
        <w:adjustRightInd/>
        <w:snapToGrid/>
        <w:spacing w:before="4" w:after="0" w:line="360" w:lineRule="auto"/>
        <w:ind w:left="944" w:leftChars="0" w:right="0" w:rightChars="0" w:hanging="400" w:firstLineChars="0"/>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en-US"/>
        </w:rPr>
        <w:t>认证标志可以用在有关文件、文具、邮政信件和出版物上，但不应用于产品或消费者所见的产品包装之上或以任何方式作为产品合格的说明；</w:t>
      </w:r>
    </w:p>
    <w:p w14:paraId="44C37CDE">
      <w:pPr>
        <w:pStyle w:val="81"/>
        <w:keepNext w:val="0"/>
        <w:keepLines w:val="0"/>
        <w:pageBreakBefore w:val="0"/>
        <w:widowControl w:val="0"/>
        <w:numPr>
          <w:ilvl w:val="1"/>
          <w:numId w:val="0"/>
        </w:numPr>
        <w:tabs>
          <w:tab w:val="left" w:pos="945"/>
        </w:tabs>
        <w:kinsoku/>
        <w:wordWrap/>
        <w:overflowPunct/>
        <w:topLinePunct w:val="0"/>
        <w:autoSpaceDE w:val="0"/>
        <w:autoSpaceDN w:val="0"/>
        <w:bidi w:val="0"/>
        <w:adjustRightInd/>
        <w:snapToGrid/>
        <w:spacing w:before="4" w:after="0" w:line="360" w:lineRule="auto"/>
        <w:ind w:left="944" w:leftChars="0" w:right="0" w:rightChars="0" w:hanging="400" w:firstLineChars="0"/>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en-US"/>
        </w:rPr>
        <w:t>获证方将标志使用方案报公司批准后方可正式使用；</w:t>
      </w:r>
    </w:p>
    <w:p w14:paraId="2F27EE02">
      <w:pPr>
        <w:pStyle w:val="81"/>
        <w:keepNext w:val="0"/>
        <w:keepLines w:val="0"/>
        <w:pageBreakBefore w:val="0"/>
        <w:widowControl w:val="0"/>
        <w:numPr>
          <w:ilvl w:val="1"/>
          <w:numId w:val="0"/>
        </w:numPr>
        <w:tabs>
          <w:tab w:val="left" w:pos="945"/>
        </w:tabs>
        <w:kinsoku/>
        <w:wordWrap/>
        <w:overflowPunct/>
        <w:topLinePunct w:val="0"/>
        <w:autoSpaceDE w:val="0"/>
        <w:autoSpaceDN w:val="0"/>
        <w:bidi w:val="0"/>
        <w:adjustRightInd/>
        <w:snapToGrid/>
        <w:spacing w:before="4" w:after="0" w:line="360" w:lineRule="auto"/>
        <w:ind w:left="944" w:leftChars="0" w:right="0" w:rightChars="0" w:hanging="400" w:firstLineChars="0"/>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en-US"/>
        </w:rPr>
        <w:t>获证方要求使用IAF-MLA/CNAS联合标识及公司徽标时，必须根据公司提供的图样按比例使</w:t>
      </w:r>
    </w:p>
    <w:p w14:paraId="1A8C71C2">
      <w:pPr>
        <w:pStyle w:val="81"/>
        <w:keepNext w:val="0"/>
        <w:keepLines w:val="0"/>
        <w:pageBreakBefore w:val="0"/>
        <w:widowControl w:val="0"/>
        <w:numPr>
          <w:ilvl w:val="1"/>
          <w:numId w:val="0"/>
        </w:numPr>
        <w:tabs>
          <w:tab w:val="left" w:pos="945"/>
        </w:tabs>
        <w:kinsoku/>
        <w:wordWrap/>
        <w:overflowPunct/>
        <w:topLinePunct w:val="0"/>
        <w:autoSpaceDE w:val="0"/>
        <w:autoSpaceDN w:val="0"/>
        <w:bidi w:val="0"/>
        <w:adjustRightInd/>
        <w:snapToGrid/>
        <w:spacing w:before="4" w:after="0" w:line="360" w:lineRule="auto"/>
        <w:ind w:left="944" w:leftChars="0" w:right="0" w:rightChars="0" w:hanging="400" w:firstLineChars="0"/>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en-US"/>
        </w:rPr>
        <w:t>获证方不得进行被认证机构认为是误导顾客的错误宣传，一经发现不正确的宣传和误导使用认证证书和标志，公司将采取监管措施直至撤消认证资格，采取法律手段。</w:t>
      </w:r>
    </w:p>
    <w:p w14:paraId="6C8645AD">
      <w:pPr>
        <w:pStyle w:val="81"/>
        <w:keepNext w:val="0"/>
        <w:keepLines w:val="0"/>
        <w:pageBreakBefore w:val="0"/>
        <w:widowControl w:val="0"/>
        <w:numPr>
          <w:ilvl w:val="1"/>
          <w:numId w:val="0"/>
        </w:numPr>
        <w:tabs>
          <w:tab w:val="left" w:pos="945"/>
        </w:tabs>
        <w:kinsoku/>
        <w:wordWrap/>
        <w:overflowPunct/>
        <w:topLinePunct w:val="0"/>
        <w:autoSpaceDE w:val="0"/>
        <w:autoSpaceDN w:val="0"/>
        <w:bidi w:val="0"/>
        <w:adjustRightInd/>
        <w:snapToGrid/>
        <w:spacing w:before="4" w:after="0" w:line="360" w:lineRule="auto"/>
        <w:ind w:left="944" w:leftChars="0" w:right="0" w:rightChars="0" w:hanging="400" w:firstLineChars="0"/>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zh-CN"/>
        </w:rPr>
        <w:t>7.4</w:t>
      </w:r>
      <w:r>
        <w:rPr>
          <w:rFonts w:hint="eastAsia" w:ascii="宋体" w:hAnsi="宋体" w:eastAsia="宋体" w:cs="宋体"/>
          <w:color w:val="auto"/>
          <w:sz w:val="21"/>
          <w:szCs w:val="21"/>
          <w:highlight w:val="none"/>
          <w:lang w:val="en-US" w:eastAsia="en-US"/>
        </w:rPr>
        <w:t>获证企业的权利和义务</w:t>
      </w:r>
    </w:p>
    <w:p w14:paraId="1BC135A2">
      <w:pPr>
        <w:pStyle w:val="81"/>
        <w:keepNext w:val="0"/>
        <w:keepLines w:val="0"/>
        <w:pageBreakBefore w:val="0"/>
        <w:widowControl w:val="0"/>
        <w:numPr>
          <w:ilvl w:val="1"/>
          <w:numId w:val="0"/>
        </w:numPr>
        <w:tabs>
          <w:tab w:val="left" w:pos="945"/>
        </w:tabs>
        <w:kinsoku/>
        <w:wordWrap/>
        <w:overflowPunct/>
        <w:topLinePunct w:val="0"/>
        <w:autoSpaceDE w:val="0"/>
        <w:autoSpaceDN w:val="0"/>
        <w:bidi w:val="0"/>
        <w:adjustRightInd/>
        <w:snapToGrid/>
        <w:spacing w:before="4" w:after="0" w:line="360" w:lineRule="auto"/>
        <w:ind w:left="944" w:leftChars="0" w:right="0" w:rightChars="0" w:hanging="400" w:firstLineChars="0"/>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en-US"/>
        </w:rPr>
        <w:t>在认证证书有效期内持证人有权在认证合格的产品及其包装和说明书上使用认证标志；</w:t>
      </w:r>
    </w:p>
    <w:p w14:paraId="19B45099">
      <w:pPr>
        <w:pStyle w:val="81"/>
        <w:keepNext w:val="0"/>
        <w:keepLines w:val="0"/>
        <w:pageBreakBefore w:val="0"/>
        <w:widowControl w:val="0"/>
        <w:numPr>
          <w:ilvl w:val="1"/>
          <w:numId w:val="0"/>
        </w:numPr>
        <w:tabs>
          <w:tab w:val="left" w:pos="945"/>
        </w:tabs>
        <w:kinsoku/>
        <w:wordWrap/>
        <w:overflowPunct/>
        <w:topLinePunct w:val="0"/>
        <w:autoSpaceDE w:val="0"/>
        <w:autoSpaceDN w:val="0"/>
        <w:bidi w:val="0"/>
        <w:adjustRightInd/>
        <w:snapToGrid/>
        <w:spacing w:before="4" w:after="0" w:line="360" w:lineRule="auto"/>
        <w:ind w:left="944" w:leftChars="0" w:right="0" w:rightChars="0" w:hanging="400" w:firstLineChars="0"/>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en-US"/>
        </w:rPr>
        <w:t>认证证书可用于广告宣传；</w:t>
      </w:r>
    </w:p>
    <w:p w14:paraId="6BB995D5">
      <w:pPr>
        <w:pStyle w:val="81"/>
        <w:keepNext w:val="0"/>
        <w:keepLines w:val="0"/>
        <w:pageBreakBefore w:val="0"/>
        <w:widowControl w:val="0"/>
        <w:numPr>
          <w:ilvl w:val="1"/>
          <w:numId w:val="0"/>
        </w:numPr>
        <w:tabs>
          <w:tab w:val="left" w:pos="945"/>
        </w:tabs>
        <w:kinsoku/>
        <w:wordWrap/>
        <w:overflowPunct/>
        <w:topLinePunct w:val="0"/>
        <w:autoSpaceDE w:val="0"/>
        <w:autoSpaceDN w:val="0"/>
        <w:bidi w:val="0"/>
        <w:adjustRightInd/>
        <w:snapToGrid/>
        <w:spacing w:before="4" w:after="0" w:line="360" w:lineRule="auto"/>
        <w:ind w:left="944" w:leftChars="0" w:right="0" w:rightChars="0" w:hanging="400" w:firstLineChars="0"/>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en-US"/>
        </w:rPr>
        <w:t>获证企业应保证获证产品质量稳定，认证产品变更未经同意，不得使用该认证证书和认证标志；</w:t>
      </w:r>
    </w:p>
    <w:p w14:paraId="0788E96F">
      <w:pPr>
        <w:pStyle w:val="81"/>
        <w:keepNext w:val="0"/>
        <w:keepLines w:val="0"/>
        <w:pageBreakBefore w:val="0"/>
        <w:widowControl w:val="0"/>
        <w:numPr>
          <w:ilvl w:val="1"/>
          <w:numId w:val="0"/>
        </w:numPr>
        <w:tabs>
          <w:tab w:val="left" w:pos="945"/>
        </w:tabs>
        <w:kinsoku/>
        <w:wordWrap/>
        <w:overflowPunct/>
        <w:topLinePunct w:val="0"/>
        <w:autoSpaceDE w:val="0"/>
        <w:autoSpaceDN w:val="0"/>
        <w:bidi w:val="0"/>
        <w:adjustRightInd/>
        <w:snapToGrid/>
        <w:spacing w:before="4" w:after="0" w:line="360" w:lineRule="auto"/>
        <w:ind w:left="944" w:leftChars="0" w:right="0" w:rightChars="0" w:hanging="400" w:firstLineChars="0"/>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en-US"/>
        </w:rPr>
        <w:t>获证企业管理体系发生重大变化，应报告</w:t>
      </w:r>
      <w:r>
        <w:rPr>
          <w:rFonts w:hint="eastAsia" w:ascii="宋体" w:hAnsi="宋体" w:eastAsia="宋体" w:cs="宋体"/>
          <w:color w:val="auto"/>
          <w:sz w:val="21"/>
          <w:szCs w:val="21"/>
          <w:highlight w:val="none"/>
          <w:lang w:val="en-US" w:eastAsia="zh-CN"/>
        </w:rPr>
        <w:t>CHRZ</w:t>
      </w:r>
      <w:r>
        <w:rPr>
          <w:rFonts w:hint="eastAsia" w:ascii="宋体" w:hAnsi="宋体" w:eastAsia="宋体" w:cs="宋体"/>
          <w:color w:val="auto"/>
          <w:sz w:val="21"/>
          <w:szCs w:val="21"/>
          <w:highlight w:val="none"/>
          <w:lang w:val="en-US" w:eastAsia="en-US"/>
        </w:rPr>
        <w:t>并接受</w:t>
      </w:r>
      <w:r>
        <w:rPr>
          <w:rFonts w:hint="eastAsia" w:ascii="宋体" w:hAnsi="宋体" w:eastAsia="宋体" w:cs="宋体"/>
          <w:color w:val="auto"/>
          <w:sz w:val="21"/>
          <w:szCs w:val="21"/>
          <w:highlight w:val="none"/>
          <w:lang w:val="en-US" w:eastAsia="zh-CN"/>
        </w:rPr>
        <w:t>CHRZ</w:t>
      </w:r>
      <w:r>
        <w:rPr>
          <w:rFonts w:hint="eastAsia" w:ascii="宋体" w:hAnsi="宋体" w:eastAsia="宋体" w:cs="宋体"/>
          <w:color w:val="auto"/>
          <w:sz w:val="21"/>
          <w:szCs w:val="21"/>
          <w:highlight w:val="none"/>
          <w:lang w:val="en-US" w:eastAsia="en-US"/>
        </w:rPr>
        <w:t>的监督检查，监督检查前及监督检查不符合者，不得使用该认证证书和认证标志；</w:t>
      </w:r>
    </w:p>
    <w:p w14:paraId="54C507FF">
      <w:pPr>
        <w:pStyle w:val="81"/>
        <w:keepNext w:val="0"/>
        <w:keepLines w:val="0"/>
        <w:pageBreakBefore w:val="0"/>
        <w:widowControl w:val="0"/>
        <w:numPr>
          <w:ilvl w:val="1"/>
          <w:numId w:val="0"/>
        </w:numPr>
        <w:tabs>
          <w:tab w:val="left" w:pos="945"/>
        </w:tabs>
        <w:kinsoku/>
        <w:wordWrap/>
        <w:overflowPunct/>
        <w:topLinePunct w:val="0"/>
        <w:autoSpaceDE w:val="0"/>
        <w:autoSpaceDN w:val="0"/>
        <w:bidi w:val="0"/>
        <w:adjustRightInd/>
        <w:snapToGrid/>
        <w:spacing w:before="4" w:after="0" w:line="360" w:lineRule="auto"/>
        <w:ind w:left="944" w:leftChars="0" w:right="0" w:rightChars="0" w:hanging="400" w:firstLineChars="0"/>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en-US"/>
        </w:rPr>
        <w:t>获证企业应妥善保管好认证证书，以免丢失、损坏；</w:t>
      </w:r>
    </w:p>
    <w:p w14:paraId="1A602067">
      <w:pPr>
        <w:pStyle w:val="81"/>
        <w:keepNext w:val="0"/>
        <w:keepLines w:val="0"/>
        <w:pageBreakBefore w:val="0"/>
        <w:widowControl w:val="0"/>
        <w:numPr>
          <w:ilvl w:val="1"/>
          <w:numId w:val="0"/>
        </w:numPr>
        <w:tabs>
          <w:tab w:val="left" w:pos="945"/>
        </w:tabs>
        <w:kinsoku/>
        <w:wordWrap/>
        <w:overflowPunct/>
        <w:topLinePunct w:val="0"/>
        <w:autoSpaceDE w:val="0"/>
        <w:autoSpaceDN w:val="0"/>
        <w:bidi w:val="0"/>
        <w:adjustRightInd/>
        <w:snapToGrid/>
        <w:spacing w:before="4" w:after="0" w:line="360" w:lineRule="auto"/>
        <w:ind w:left="944" w:leftChars="0" w:right="0" w:rightChars="0" w:hanging="400" w:firstLineChars="0"/>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en-US"/>
        </w:rPr>
        <w:t>认证证书不得伪造、涂改、出借、出租、转让、部分出示或复印；</w:t>
      </w:r>
    </w:p>
    <w:p w14:paraId="20F0AAD4">
      <w:pPr>
        <w:pStyle w:val="81"/>
        <w:keepNext w:val="0"/>
        <w:keepLines w:val="0"/>
        <w:pageBreakBefore w:val="0"/>
        <w:widowControl w:val="0"/>
        <w:numPr>
          <w:ilvl w:val="1"/>
          <w:numId w:val="0"/>
        </w:numPr>
        <w:tabs>
          <w:tab w:val="left" w:pos="945"/>
        </w:tabs>
        <w:kinsoku/>
        <w:wordWrap/>
        <w:overflowPunct/>
        <w:topLinePunct w:val="0"/>
        <w:autoSpaceDE w:val="0"/>
        <w:autoSpaceDN w:val="0"/>
        <w:bidi w:val="0"/>
        <w:adjustRightInd/>
        <w:snapToGrid/>
        <w:spacing w:before="4" w:after="0" w:line="360" w:lineRule="auto"/>
        <w:ind w:left="944" w:leftChars="0" w:right="0" w:rightChars="0" w:hanging="400" w:firstLineChars="0"/>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en-US"/>
        </w:rPr>
        <w:t>企业应按时交纳认证费用，以获得或保持认证证书。</w:t>
      </w:r>
    </w:p>
    <w:p w14:paraId="3B9EE69A">
      <w:pPr>
        <w:keepNext w:val="0"/>
        <w:keepLines w:val="0"/>
        <w:pageBreakBefore w:val="0"/>
        <w:widowControl w:val="0"/>
        <w:kinsoku/>
        <w:wordWrap/>
        <w:overflowPunct/>
        <w:topLinePunct w:val="0"/>
        <w:autoSpaceDE w:val="0"/>
        <w:autoSpaceDN w:val="0"/>
        <w:bidi w:val="0"/>
        <w:adjustRightInd/>
        <w:snapToGrid/>
        <w:spacing w:before="14" w:line="360" w:lineRule="auto"/>
        <w:ind w:left="544" w:right="0" w:firstLine="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八、再认证的申请</w:t>
      </w:r>
    </w:p>
    <w:p w14:paraId="106026C9">
      <w:pPr>
        <w:pStyle w:val="16"/>
        <w:keepNext w:val="0"/>
        <w:keepLines w:val="0"/>
        <w:pageBreakBefore w:val="0"/>
        <w:widowControl w:val="0"/>
        <w:kinsoku/>
        <w:wordWrap/>
        <w:overflowPunct/>
        <w:topLinePunct w:val="0"/>
        <w:autoSpaceDE w:val="0"/>
        <w:autoSpaceDN w:val="0"/>
        <w:bidi w:val="0"/>
        <w:adjustRightInd/>
        <w:snapToGrid/>
        <w:spacing w:before="14" w:line="360" w:lineRule="auto"/>
        <w:ind w:right="240" w:firstLine="436"/>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en-US" w:bidi="ar-SA"/>
        </w:rPr>
        <w:t>证书有效期届满，组织如要继续保持对其管理体系的认证，可向</w:t>
      </w:r>
      <w:r>
        <w:rPr>
          <w:rFonts w:hint="eastAsia" w:ascii="宋体" w:hAnsi="宋体" w:eastAsia="宋体" w:cs="宋体"/>
          <w:color w:val="auto"/>
          <w:sz w:val="21"/>
          <w:szCs w:val="21"/>
          <w:highlight w:val="none"/>
          <w:lang w:val="en-US" w:eastAsia="zh-CN" w:bidi="ar-SA"/>
        </w:rPr>
        <w:t>春晖国际认证</w:t>
      </w:r>
      <w:r>
        <w:rPr>
          <w:rFonts w:hint="eastAsia" w:ascii="宋体" w:hAnsi="宋体" w:eastAsia="宋体" w:cs="宋体"/>
          <w:color w:val="auto"/>
          <w:sz w:val="21"/>
          <w:szCs w:val="21"/>
          <w:highlight w:val="none"/>
          <w:lang w:val="en-US" w:eastAsia="en-US" w:bidi="ar-SA"/>
        </w:rPr>
        <w:t>提出再认证申请，再认证一般应在</w:t>
      </w:r>
      <w:r>
        <w:rPr>
          <w:rFonts w:hint="eastAsia" w:ascii="宋体" w:hAnsi="宋体" w:eastAsia="宋体" w:cs="宋体"/>
          <w:color w:val="auto"/>
          <w:spacing w:val="-3"/>
          <w:sz w:val="21"/>
          <w:szCs w:val="21"/>
          <w:highlight w:val="none"/>
        </w:rPr>
        <w:t xml:space="preserve">证书有效期到期 </w:t>
      </w:r>
      <w:r>
        <w:rPr>
          <w:rFonts w:hint="eastAsia" w:ascii="宋体" w:hAnsi="宋体" w:eastAsia="宋体" w:cs="宋体"/>
          <w:color w:val="auto"/>
          <w:sz w:val="21"/>
          <w:szCs w:val="21"/>
          <w:highlight w:val="none"/>
        </w:rPr>
        <w:t>3</w:t>
      </w:r>
      <w:r>
        <w:rPr>
          <w:rFonts w:hint="eastAsia" w:ascii="宋体" w:hAnsi="宋体" w:eastAsia="宋体" w:cs="宋体"/>
          <w:color w:val="auto"/>
          <w:spacing w:val="-5"/>
          <w:sz w:val="21"/>
          <w:szCs w:val="21"/>
          <w:highlight w:val="none"/>
        </w:rPr>
        <w:t xml:space="preserve"> 个月前向</w:t>
      </w:r>
      <w:r>
        <w:rPr>
          <w:rFonts w:hint="eastAsia" w:ascii="宋体" w:hAnsi="宋体" w:eastAsia="宋体" w:cs="宋体"/>
          <w:color w:val="auto"/>
          <w:spacing w:val="-5"/>
          <w:sz w:val="21"/>
          <w:szCs w:val="21"/>
          <w:highlight w:val="none"/>
          <w:lang w:eastAsia="zh-CN"/>
        </w:rPr>
        <w:t>春晖国际认证</w:t>
      </w:r>
      <w:r>
        <w:rPr>
          <w:rFonts w:hint="eastAsia" w:ascii="宋体" w:hAnsi="宋体" w:eastAsia="宋体" w:cs="宋体"/>
          <w:color w:val="auto"/>
          <w:spacing w:val="-5"/>
          <w:sz w:val="21"/>
          <w:szCs w:val="21"/>
          <w:highlight w:val="none"/>
        </w:rPr>
        <w:t>提交管理体系申请表并签订再认证合同，再认证后重新颁发认证证书， 进入下一个证书有效期。</w:t>
      </w:r>
    </w:p>
    <w:p w14:paraId="6DC1727A">
      <w:pPr>
        <w:keepNext w:val="0"/>
        <w:keepLines w:val="0"/>
        <w:pageBreakBefore w:val="0"/>
        <w:widowControl w:val="0"/>
        <w:kinsoku/>
        <w:wordWrap/>
        <w:overflowPunct/>
        <w:topLinePunct w:val="0"/>
        <w:autoSpaceDE w:val="0"/>
        <w:autoSpaceDN w:val="0"/>
        <w:bidi w:val="0"/>
        <w:adjustRightInd/>
        <w:snapToGrid/>
        <w:spacing w:before="0" w:line="360" w:lineRule="auto"/>
        <w:ind w:left="544" w:right="0" w:firstLine="0"/>
        <w:jc w:val="left"/>
        <w:textAlignment w:val="auto"/>
        <w:rPr>
          <w:rFonts w:hint="eastAsia" w:ascii="宋体" w:hAnsi="宋体" w:eastAsia="宋体" w:cs="宋体"/>
          <w:b/>
          <w:color w:val="auto"/>
          <w:sz w:val="21"/>
          <w:szCs w:val="21"/>
          <w:highlight w:val="none"/>
        </w:rPr>
      </w:pPr>
      <w:bookmarkStart w:id="22" w:name="_bookmark9"/>
      <w:bookmarkEnd w:id="22"/>
      <w:bookmarkStart w:id="23" w:name="九、非正常情况下的处置"/>
      <w:bookmarkEnd w:id="23"/>
      <w:r>
        <w:rPr>
          <w:rFonts w:hint="eastAsia" w:ascii="宋体" w:hAnsi="宋体" w:eastAsia="宋体" w:cs="宋体"/>
          <w:b/>
          <w:color w:val="auto"/>
          <w:sz w:val="21"/>
          <w:szCs w:val="21"/>
          <w:highlight w:val="none"/>
        </w:rPr>
        <w:t>九、非正常情况下的处置</w:t>
      </w:r>
    </w:p>
    <w:p w14:paraId="3C7600FC">
      <w:pPr>
        <w:pStyle w:val="16"/>
        <w:keepNext w:val="0"/>
        <w:keepLines w:val="0"/>
        <w:pageBreakBefore w:val="0"/>
        <w:widowControl w:val="0"/>
        <w:kinsoku/>
        <w:wordWrap/>
        <w:overflowPunct/>
        <w:topLinePunct w:val="0"/>
        <w:autoSpaceDE w:val="0"/>
        <w:autoSpaceDN w:val="0"/>
        <w:bidi w:val="0"/>
        <w:adjustRightInd/>
        <w:snapToGrid/>
        <w:spacing w:before="14" w:line="360" w:lineRule="auto"/>
        <w:ind w:right="248" w:firstLine="43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获证组织申请、发生变更或出现异常情况时，</w:t>
      </w:r>
      <w:r>
        <w:rPr>
          <w:rFonts w:hint="eastAsia" w:ascii="宋体" w:hAnsi="宋体" w:eastAsia="宋体" w:cs="宋体"/>
          <w:color w:val="auto"/>
          <w:spacing w:val="-5"/>
          <w:sz w:val="21"/>
          <w:szCs w:val="21"/>
          <w:highlight w:val="none"/>
          <w:lang w:eastAsia="zh-CN"/>
        </w:rPr>
        <w:t>春晖国际认证</w:t>
      </w:r>
      <w:r>
        <w:rPr>
          <w:rFonts w:hint="eastAsia" w:ascii="宋体" w:hAnsi="宋体" w:eastAsia="宋体" w:cs="宋体"/>
          <w:color w:val="auto"/>
          <w:spacing w:val="-5"/>
          <w:sz w:val="21"/>
          <w:szCs w:val="21"/>
          <w:highlight w:val="none"/>
        </w:rPr>
        <w:t>将依据《中华人民共和国认证认可条例》第二十七条</w:t>
      </w:r>
      <w:r>
        <w:rPr>
          <w:rFonts w:hint="eastAsia" w:ascii="宋体" w:hAnsi="宋体" w:eastAsia="宋体" w:cs="宋体"/>
          <w:color w:val="auto"/>
          <w:sz w:val="21"/>
          <w:szCs w:val="21"/>
          <w:highlight w:val="none"/>
        </w:rPr>
        <w:t>的有关规定，视具体情况采取缩小、暂停注册、撤销注册的措施。</w:t>
      </w:r>
    </w:p>
    <w:p w14:paraId="704D075A">
      <w:pPr>
        <w:pStyle w:val="81"/>
        <w:keepNext w:val="0"/>
        <w:keepLines w:val="0"/>
        <w:pageBreakBefore w:val="0"/>
        <w:widowControl w:val="0"/>
        <w:numPr>
          <w:ilvl w:val="1"/>
          <w:numId w:val="0"/>
        </w:numPr>
        <w:tabs>
          <w:tab w:val="left" w:pos="945"/>
        </w:tabs>
        <w:kinsoku/>
        <w:wordWrap/>
        <w:overflowPunct/>
        <w:topLinePunct w:val="0"/>
        <w:autoSpaceDE w:val="0"/>
        <w:autoSpaceDN w:val="0"/>
        <w:bidi w:val="0"/>
        <w:adjustRightInd/>
        <w:snapToGrid/>
        <w:spacing w:before="0" w:after="0" w:line="360" w:lineRule="auto"/>
        <w:ind w:left="944" w:leftChars="0" w:right="0" w:rightChars="0" w:hanging="40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9.1</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暂停注册的条件</w:t>
      </w:r>
    </w:p>
    <w:p w14:paraId="57E5E88B">
      <w:pPr>
        <w:pStyle w:val="16"/>
        <w:keepNext w:val="0"/>
        <w:keepLines w:val="0"/>
        <w:pageBreakBefore w:val="0"/>
        <w:widowControl w:val="0"/>
        <w:kinsoku/>
        <w:wordWrap/>
        <w:overflowPunct/>
        <w:topLinePunct w:val="0"/>
        <w:autoSpaceDE w:val="0"/>
        <w:autoSpaceDN w:val="0"/>
        <w:bidi w:val="0"/>
        <w:adjustRightInd/>
        <w:snapToGrid/>
        <w:spacing w:before="13" w:line="360" w:lineRule="auto"/>
        <w:ind w:left="544" w:firstLine="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出现下列情况之一时，将被暂停认证注册资格：</w:t>
      </w:r>
    </w:p>
    <w:p w14:paraId="6149772B">
      <w:pPr>
        <w:pStyle w:val="81"/>
        <w:keepNext w:val="0"/>
        <w:keepLines w:val="0"/>
        <w:pageBreakBefore w:val="0"/>
        <w:widowControl w:val="0"/>
        <w:numPr>
          <w:ilvl w:val="2"/>
          <w:numId w:val="0"/>
        </w:numPr>
        <w:tabs>
          <w:tab w:val="left" w:pos="1068"/>
        </w:tabs>
        <w:kinsoku/>
        <w:wordWrap/>
        <w:overflowPunct/>
        <w:topLinePunct w:val="0"/>
        <w:autoSpaceDE w:val="0"/>
        <w:autoSpaceDN w:val="0"/>
        <w:bidi w:val="0"/>
        <w:adjustRightInd/>
        <w:snapToGrid/>
        <w:spacing w:before="14" w:after="0" w:line="360" w:lineRule="auto"/>
        <w:ind w:left="1067" w:leftChars="0" w:right="0" w:rightChars="0" w:hanging="52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9.1.1</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企业自行申请暂停认证注册资格</w:t>
      </w:r>
    </w:p>
    <w:p w14:paraId="4B202534">
      <w:pPr>
        <w:pStyle w:val="81"/>
        <w:keepNext w:val="0"/>
        <w:keepLines w:val="0"/>
        <w:pageBreakBefore w:val="0"/>
        <w:widowControl w:val="0"/>
        <w:numPr>
          <w:ilvl w:val="2"/>
          <w:numId w:val="0"/>
        </w:numPr>
        <w:tabs>
          <w:tab w:val="left" w:pos="1120"/>
        </w:tabs>
        <w:kinsoku/>
        <w:wordWrap/>
        <w:overflowPunct/>
        <w:topLinePunct w:val="0"/>
        <w:autoSpaceDE w:val="0"/>
        <w:autoSpaceDN w:val="0"/>
        <w:bidi w:val="0"/>
        <w:adjustRightInd/>
        <w:snapToGrid/>
        <w:spacing w:before="11" w:after="0" w:line="360" w:lineRule="auto"/>
        <w:ind w:left="1120" w:leftChars="0" w:right="0" w:rightChars="0" w:hanging="576"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9.1.2</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其他暂停证书的条件：</w:t>
      </w:r>
    </w:p>
    <w:p w14:paraId="078636AA">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4" w:after="0" w:line="360" w:lineRule="auto"/>
        <w:ind w:left="107" w:leftChars="0" w:right="245"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w:t>
      </w:r>
      <w:r>
        <w:rPr>
          <w:rFonts w:hint="eastAsia" w:ascii="宋体" w:hAnsi="宋体" w:eastAsia="宋体" w:cs="宋体"/>
          <w:color w:val="auto"/>
          <w:sz w:val="21"/>
          <w:szCs w:val="21"/>
          <w:highlight w:val="none"/>
        </w:rPr>
        <w:t xml:space="preserve">管理体系持续或严重不满足认证要求的，包括管理体系文件与实际业务运作严重脱离； </w:t>
      </w:r>
    </w:p>
    <w:p w14:paraId="1AC600FA">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4" w:after="0" w:line="360" w:lineRule="auto"/>
        <w:ind w:left="107" w:leftChars="0" w:right="245"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2)</w:t>
      </w:r>
      <w:r>
        <w:rPr>
          <w:rFonts w:hint="eastAsia" w:ascii="宋体" w:hAnsi="宋体" w:eastAsia="宋体" w:cs="宋体"/>
          <w:color w:val="auto"/>
          <w:sz w:val="21"/>
          <w:szCs w:val="21"/>
          <w:highlight w:val="none"/>
        </w:rPr>
        <w:t xml:space="preserve">不满足管理体系适用的法律法规要求，且未采取有效纠正措施的； </w:t>
      </w:r>
    </w:p>
    <w:p w14:paraId="093033F7">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4" w:after="0" w:line="360" w:lineRule="auto"/>
        <w:ind w:left="107" w:leftChars="0" w:right="245"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3)</w:t>
      </w:r>
      <w:r>
        <w:rPr>
          <w:rFonts w:hint="eastAsia" w:ascii="宋体" w:hAnsi="宋体" w:eastAsia="宋体" w:cs="宋体"/>
          <w:color w:val="auto"/>
          <w:sz w:val="21"/>
          <w:szCs w:val="21"/>
          <w:highlight w:val="none"/>
        </w:rPr>
        <w:t>监督或抽查发现获证组织管理体系运行不理想，达不到认证要求，如获证组织的管理体系不符合认证依据或相关产品不符合执行标准要求，不需要立即撤销认证证书的；</w:t>
      </w:r>
    </w:p>
    <w:p w14:paraId="14D1FAE6">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4" w:after="0" w:line="360" w:lineRule="auto"/>
        <w:ind w:left="107" w:leftChars="0" w:right="245"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4)</w:t>
      </w:r>
      <w:r>
        <w:rPr>
          <w:rFonts w:hint="eastAsia" w:ascii="宋体" w:hAnsi="宋体" w:eastAsia="宋体" w:cs="宋体"/>
          <w:color w:val="auto"/>
          <w:sz w:val="21"/>
          <w:szCs w:val="21"/>
          <w:highlight w:val="none"/>
        </w:rPr>
        <w:t>受到与质量、环境、职业健康安全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能源、信息安全、信息技术服务</w:t>
      </w:r>
      <w:r>
        <w:rPr>
          <w:rFonts w:hint="eastAsia" w:ascii="宋体" w:hAnsi="宋体" w:eastAsia="宋体" w:cs="宋体"/>
          <w:color w:val="auto"/>
          <w:sz w:val="21"/>
          <w:szCs w:val="21"/>
          <w:highlight w:val="none"/>
        </w:rPr>
        <w:t xml:space="preserve">等管理体系相关的行政处罚，且尚未完成整改的； </w:t>
      </w:r>
    </w:p>
    <w:p w14:paraId="0EBB38D6">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4" w:after="0" w:line="360" w:lineRule="auto"/>
        <w:ind w:left="107" w:leftChars="0" w:right="245"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5)</w:t>
      </w:r>
      <w:r>
        <w:rPr>
          <w:rFonts w:hint="eastAsia" w:ascii="宋体" w:hAnsi="宋体" w:eastAsia="宋体" w:cs="宋体"/>
          <w:color w:val="auto"/>
          <w:sz w:val="21"/>
          <w:szCs w:val="21"/>
          <w:highlight w:val="none"/>
        </w:rPr>
        <w:t>拒绝配合市场监管部门的认证执法监督检查，或者提供虚假材料或信息的；</w:t>
      </w:r>
    </w:p>
    <w:p w14:paraId="700E8826">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4" w:after="0" w:line="360" w:lineRule="auto"/>
        <w:ind w:left="107" w:leftChars="0" w:right="245"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6)</w:t>
      </w:r>
      <w:r>
        <w:rPr>
          <w:rFonts w:hint="eastAsia" w:ascii="宋体" w:hAnsi="宋体" w:eastAsia="宋体" w:cs="宋体"/>
          <w:color w:val="auto"/>
          <w:sz w:val="21"/>
          <w:szCs w:val="21"/>
          <w:highlight w:val="none"/>
        </w:rPr>
        <w:t xml:space="preserve">持有的行政许可证明、资质证书、强制性认证证书等过期失效，重新提交的申请已被受理但尚未换证的； </w:t>
      </w:r>
    </w:p>
    <w:p w14:paraId="4A900793">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4" w:after="0" w:line="360" w:lineRule="auto"/>
        <w:ind w:left="107" w:leftChars="0" w:right="245"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7)</w:t>
      </w:r>
      <w:r>
        <w:rPr>
          <w:rFonts w:hint="eastAsia" w:ascii="宋体" w:hAnsi="宋体" w:eastAsia="宋体" w:cs="宋体"/>
          <w:color w:val="auto"/>
          <w:sz w:val="21"/>
          <w:szCs w:val="21"/>
          <w:highlight w:val="none"/>
        </w:rPr>
        <w:t xml:space="preserve">未按相关规定正确引用和宣传获得的认证证书和有关信息，包括认证证书和认证标志的使用； </w:t>
      </w:r>
    </w:p>
    <w:p w14:paraId="7A63D5C3">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4"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8)</w:t>
      </w:r>
      <w:r>
        <w:rPr>
          <w:rFonts w:hint="eastAsia" w:ascii="宋体" w:hAnsi="宋体" w:eastAsia="宋体" w:cs="宋体"/>
          <w:color w:val="auto"/>
          <w:sz w:val="21"/>
          <w:szCs w:val="21"/>
          <w:highlight w:val="none"/>
        </w:rPr>
        <w:t>出现重大质量/环境/安全/食品安全事故，有严重违反法规情况发生的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反映获证组织的管理体系运行存在重大缺陷的</w:t>
      </w:r>
      <w:r>
        <w:rPr>
          <w:rFonts w:hint="eastAsia" w:ascii="宋体" w:hAnsi="宋体" w:eastAsia="宋体" w:cs="宋体"/>
          <w:color w:val="auto"/>
          <w:sz w:val="21"/>
          <w:szCs w:val="21"/>
          <w:highlight w:val="none"/>
        </w:rPr>
        <w:t>；</w:t>
      </w:r>
    </w:p>
    <w:p w14:paraId="3749F375">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4"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9)</w:t>
      </w:r>
      <w:r>
        <w:rPr>
          <w:rFonts w:hint="eastAsia" w:ascii="宋体" w:hAnsi="宋体" w:eastAsia="宋体" w:cs="宋体"/>
          <w:color w:val="auto"/>
          <w:sz w:val="21"/>
          <w:szCs w:val="21"/>
          <w:highlight w:val="none"/>
        </w:rPr>
        <w:t>被有关执法监管部门责令停业整顿的；</w:t>
      </w:r>
    </w:p>
    <w:p w14:paraId="01B6BA93">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1" w:after="0" w:line="360" w:lineRule="auto"/>
        <w:ind w:left="107" w:leftChars="0" w:right="247"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10)</w:t>
      </w:r>
      <w:r>
        <w:rPr>
          <w:rFonts w:hint="eastAsia" w:ascii="宋体" w:hAnsi="宋体" w:eastAsia="宋体" w:cs="宋体"/>
          <w:color w:val="auto"/>
          <w:sz w:val="21"/>
          <w:szCs w:val="21"/>
          <w:highlight w:val="none"/>
        </w:rPr>
        <w:t>获证组织重组、物理地址变动导致获证组织人力资源、基础设施、组织机构、管理体系过程模式、经营状况发生变更/重大本质性变更，且不能在一个月内接受审核；</w:t>
      </w:r>
    </w:p>
    <w:p w14:paraId="0F905AE6">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0" w:after="0" w:line="360" w:lineRule="auto"/>
        <w:ind w:left="107" w:leftChars="0" w:right="247"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11)</w:t>
      </w:r>
      <w:r>
        <w:rPr>
          <w:rFonts w:hint="eastAsia" w:ascii="宋体" w:hAnsi="宋体" w:eastAsia="宋体" w:cs="宋体"/>
          <w:color w:val="auto"/>
          <w:sz w:val="21"/>
          <w:szCs w:val="21"/>
          <w:highlight w:val="none"/>
        </w:rPr>
        <w:t>持有的与管理体系范围有关的行政许可证明、资质证书、强制性认证证书等过期失效，重新提交的申请已被受理但尚未换证的；</w:t>
      </w:r>
    </w:p>
    <w:p w14:paraId="7E019E0B">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0"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12)</w:t>
      </w:r>
      <w:r>
        <w:rPr>
          <w:rFonts w:hint="eastAsia" w:ascii="宋体" w:hAnsi="宋体" w:eastAsia="宋体" w:cs="宋体"/>
          <w:color w:val="auto"/>
          <w:sz w:val="21"/>
          <w:szCs w:val="21"/>
          <w:highlight w:val="none"/>
        </w:rPr>
        <w:t>媒体/相关方重大投诉、曝光；</w:t>
      </w:r>
    </w:p>
    <w:p w14:paraId="19C3170A">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2"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13)</w:t>
      </w:r>
      <w:r>
        <w:rPr>
          <w:rFonts w:hint="eastAsia" w:ascii="宋体" w:hAnsi="宋体" w:eastAsia="宋体" w:cs="宋体"/>
          <w:color w:val="auto"/>
          <w:sz w:val="21"/>
          <w:szCs w:val="21"/>
          <w:highlight w:val="none"/>
        </w:rPr>
        <w:t>未按时交纳认证费用等不承担、履行认证合同约定责任和义务的；</w:t>
      </w:r>
    </w:p>
    <w:p w14:paraId="770E6E95">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1"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14)</w:t>
      </w:r>
      <w:r>
        <w:rPr>
          <w:rFonts w:hint="eastAsia" w:ascii="宋体" w:hAnsi="宋体" w:eastAsia="宋体" w:cs="宋体"/>
          <w:color w:val="auto"/>
          <w:sz w:val="21"/>
          <w:szCs w:val="21"/>
          <w:highlight w:val="none"/>
        </w:rPr>
        <w:t>对于不能按规定的期限内，完成不符合项纠正措施的；</w:t>
      </w:r>
    </w:p>
    <w:p w14:paraId="01F7CA4E">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14"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15)</w:t>
      </w:r>
      <w:r>
        <w:rPr>
          <w:rFonts w:hint="eastAsia" w:ascii="宋体" w:hAnsi="宋体" w:eastAsia="宋体" w:cs="宋体"/>
          <w:color w:val="auto"/>
          <w:sz w:val="21"/>
          <w:szCs w:val="21"/>
          <w:highlight w:val="none"/>
        </w:rPr>
        <w:t>未按要求进行信息通报的；</w:t>
      </w:r>
    </w:p>
    <w:p w14:paraId="60C864F3">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14" w:after="0" w:line="360" w:lineRule="auto"/>
        <w:ind w:left="107" w:leftChars="0" w:right="245"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16)</w:t>
      </w:r>
      <w:r>
        <w:rPr>
          <w:rFonts w:hint="eastAsia" w:ascii="宋体" w:hAnsi="宋体" w:eastAsia="宋体" w:cs="宋体"/>
          <w:color w:val="auto"/>
          <w:spacing w:val="-1"/>
          <w:sz w:val="21"/>
          <w:szCs w:val="21"/>
          <w:highlight w:val="none"/>
        </w:rPr>
        <w:t>未能接受周期性监督审核</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rPr>
        <w:t xml:space="preserve">两次审核间隔不超 </w:t>
      </w:r>
      <w:r>
        <w:rPr>
          <w:rFonts w:hint="eastAsia" w:ascii="宋体" w:hAnsi="宋体" w:eastAsia="宋体" w:cs="宋体"/>
          <w:color w:val="auto"/>
          <w:sz w:val="21"/>
          <w:szCs w:val="21"/>
          <w:highlight w:val="none"/>
        </w:rPr>
        <w:t>12</w:t>
      </w:r>
      <w:r>
        <w:rPr>
          <w:rFonts w:hint="eastAsia" w:ascii="宋体" w:hAnsi="宋体" w:eastAsia="宋体" w:cs="宋体"/>
          <w:color w:val="auto"/>
          <w:spacing w:val="-6"/>
          <w:sz w:val="21"/>
          <w:szCs w:val="21"/>
          <w:highlight w:val="none"/>
        </w:rPr>
        <w:t xml:space="preserve"> 个月</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
          <w:sz w:val="21"/>
          <w:szCs w:val="21"/>
          <w:highlight w:val="none"/>
        </w:rPr>
        <w:t xml:space="preserve">或 </w:t>
      </w:r>
      <w:r>
        <w:rPr>
          <w:rFonts w:hint="eastAsia" w:ascii="宋体" w:hAnsi="宋体" w:eastAsia="宋体" w:cs="宋体"/>
          <w:color w:val="auto"/>
          <w:sz w:val="21"/>
          <w:szCs w:val="21"/>
          <w:highlight w:val="none"/>
          <w:lang w:val="en-US" w:eastAsia="zh-CN"/>
        </w:rPr>
        <w:t>CHRZ</w:t>
      </w:r>
      <w:r>
        <w:rPr>
          <w:rFonts w:hint="eastAsia" w:ascii="宋体" w:hAnsi="宋体" w:eastAsia="宋体" w:cs="宋体"/>
          <w:color w:val="auto"/>
          <w:spacing w:val="-5"/>
          <w:sz w:val="21"/>
          <w:szCs w:val="21"/>
          <w:highlight w:val="none"/>
        </w:rPr>
        <w:t xml:space="preserve"> 安排的其他特殊情况的审核</w:t>
      </w:r>
      <w:r>
        <w:rPr>
          <w:rFonts w:hint="eastAsia" w:ascii="宋体" w:hAnsi="宋体" w:eastAsia="宋体" w:cs="宋体"/>
          <w:color w:val="auto"/>
          <w:sz w:val="21"/>
          <w:szCs w:val="21"/>
          <w:highlight w:val="none"/>
        </w:rPr>
        <w:t>（如针对产品抽查不合格一个月内需进行的监督）</w:t>
      </w:r>
    </w:p>
    <w:p w14:paraId="02C06038">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69"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17)</w:t>
      </w:r>
      <w:r>
        <w:rPr>
          <w:rFonts w:hint="eastAsia" w:ascii="宋体" w:hAnsi="宋体" w:eastAsia="宋体" w:cs="宋体"/>
          <w:color w:val="auto"/>
          <w:sz w:val="21"/>
          <w:szCs w:val="21"/>
          <w:highlight w:val="none"/>
        </w:rPr>
        <w:t>获证组织被市场监督管理部门抽查发现影响食品安全的不合格情况，尚不需要立即撤销认证证书的；</w:t>
      </w:r>
    </w:p>
    <w:p w14:paraId="598F379D">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129"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18)</w:t>
      </w:r>
      <w:r>
        <w:rPr>
          <w:rFonts w:hint="eastAsia" w:ascii="宋体" w:hAnsi="宋体" w:eastAsia="宋体" w:cs="宋体"/>
          <w:color w:val="auto"/>
          <w:sz w:val="21"/>
          <w:szCs w:val="21"/>
          <w:highlight w:val="none"/>
        </w:rPr>
        <w:t>获证组织无正当理由连续两次不接受不通知现场审核的；</w:t>
      </w:r>
    </w:p>
    <w:p w14:paraId="06A4BD18">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129"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19)</w:t>
      </w:r>
      <w:r>
        <w:rPr>
          <w:rFonts w:hint="eastAsia" w:ascii="宋体" w:hAnsi="宋体" w:eastAsia="宋体" w:cs="宋体"/>
          <w:color w:val="auto"/>
          <w:sz w:val="21"/>
          <w:szCs w:val="21"/>
          <w:highlight w:val="none"/>
        </w:rPr>
        <w:t xml:space="preserve">不承担、履行认证合同约定的责任和义务的； </w:t>
      </w:r>
    </w:p>
    <w:p w14:paraId="0D2B80F4">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129"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20)</w:t>
      </w:r>
      <w:r>
        <w:rPr>
          <w:rFonts w:hint="eastAsia" w:ascii="宋体" w:hAnsi="宋体" w:eastAsia="宋体" w:cs="宋体"/>
          <w:color w:val="auto"/>
          <w:sz w:val="21"/>
          <w:szCs w:val="21"/>
          <w:highlight w:val="none"/>
        </w:rPr>
        <w:t>发生与质量</w:t>
      </w:r>
      <w:r>
        <w:rPr>
          <w:rFonts w:hint="eastAsia" w:ascii="宋体" w:hAnsi="宋体" w:eastAsia="宋体" w:cs="宋体"/>
          <w:color w:val="auto"/>
          <w:sz w:val="21"/>
          <w:szCs w:val="21"/>
          <w:highlight w:val="none"/>
          <w:lang w:val="en-US" w:eastAsia="zh-CN"/>
        </w:rPr>
        <w:t>/环境/OH&amp;S</w:t>
      </w:r>
      <w:r>
        <w:rPr>
          <w:rFonts w:hint="eastAsia" w:ascii="宋体" w:hAnsi="宋体" w:eastAsia="宋体" w:cs="宋体"/>
          <w:color w:val="auto"/>
          <w:sz w:val="21"/>
          <w:szCs w:val="21"/>
          <w:highlight w:val="none"/>
        </w:rPr>
        <w:t xml:space="preserve">相关重大舆情的； </w:t>
      </w:r>
    </w:p>
    <w:p w14:paraId="1228EBC3">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129"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21)</w:t>
      </w:r>
      <w:r>
        <w:rPr>
          <w:rFonts w:hint="eastAsia" w:ascii="宋体" w:hAnsi="宋体" w:eastAsia="宋体" w:cs="宋体"/>
          <w:color w:val="auto"/>
          <w:sz w:val="21"/>
          <w:szCs w:val="21"/>
          <w:highlight w:val="none"/>
        </w:rPr>
        <w:t xml:space="preserve">主动请求暂停的； </w:t>
      </w:r>
    </w:p>
    <w:p w14:paraId="02F4D69B">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64"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22)</w:t>
      </w:r>
      <w:r>
        <w:rPr>
          <w:rFonts w:hint="eastAsia" w:ascii="宋体" w:hAnsi="宋体" w:eastAsia="宋体" w:cs="宋体"/>
          <w:color w:val="auto"/>
          <w:sz w:val="21"/>
          <w:szCs w:val="21"/>
          <w:highlight w:val="none"/>
        </w:rPr>
        <w:t>其他需要暂停认证注册资格的情况</w:t>
      </w:r>
    </w:p>
    <w:p w14:paraId="4C62F263">
      <w:pPr>
        <w:pStyle w:val="16"/>
        <w:keepNext w:val="0"/>
        <w:keepLines w:val="0"/>
        <w:pageBreakBefore w:val="0"/>
        <w:widowControl w:val="0"/>
        <w:kinsoku/>
        <w:wordWrap/>
        <w:overflowPunct/>
        <w:topLinePunct w:val="0"/>
        <w:autoSpaceDE w:val="0"/>
        <w:autoSpaceDN w:val="0"/>
        <w:bidi w:val="0"/>
        <w:adjustRightInd/>
        <w:snapToGrid/>
        <w:spacing w:before="14" w:line="360" w:lineRule="auto"/>
        <w:ind w:right="245" w:firstLine="43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en-US" w:bidi="ar-SA"/>
        </w:rPr>
        <w:t>暂停期限为一般为六个月，经技术委员会最终审定后向获证组织发出书面通知，并报认证认可业务信息统一</w:t>
      </w:r>
      <w:r>
        <w:rPr>
          <w:rFonts w:hint="eastAsia" w:ascii="宋体" w:hAnsi="宋体" w:eastAsia="宋体" w:cs="宋体"/>
          <w:color w:val="auto"/>
          <w:sz w:val="21"/>
          <w:szCs w:val="21"/>
          <w:highlight w:val="none"/>
        </w:rPr>
        <w:t>上报平台予以公告。</w:t>
      </w:r>
    </w:p>
    <w:p w14:paraId="3B1E760F">
      <w:pPr>
        <w:pStyle w:val="81"/>
        <w:keepNext w:val="0"/>
        <w:keepLines w:val="0"/>
        <w:pageBreakBefore w:val="0"/>
        <w:widowControl w:val="0"/>
        <w:numPr>
          <w:ilvl w:val="1"/>
          <w:numId w:val="0"/>
        </w:numPr>
        <w:tabs>
          <w:tab w:val="left" w:pos="1051"/>
        </w:tabs>
        <w:kinsoku/>
        <w:wordWrap/>
        <w:overflowPunct/>
        <w:topLinePunct w:val="0"/>
        <w:autoSpaceDE w:val="0"/>
        <w:autoSpaceDN w:val="0"/>
        <w:bidi w:val="0"/>
        <w:adjustRightInd/>
        <w:snapToGrid/>
        <w:spacing w:before="0" w:after="0" w:line="360" w:lineRule="auto"/>
        <w:ind w:left="1050" w:leftChars="0" w:right="0" w:rightChars="0" w:hanging="401"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9.2</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撤销注册的条件</w:t>
      </w:r>
    </w:p>
    <w:p w14:paraId="52F9CF58">
      <w:pPr>
        <w:pStyle w:val="16"/>
        <w:keepNext w:val="0"/>
        <w:keepLines w:val="0"/>
        <w:pageBreakBefore w:val="0"/>
        <w:widowControl w:val="0"/>
        <w:kinsoku/>
        <w:wordWrap/>
        <w:overflowPunct/>
        <w:topLinePunct w:val="0"/>
        <w:autoSpaceDE w:val="0"/>
        <w:autoSpaceDN w:val="0"/>
        <w:bidi w:val="0"/>
        <w:adjustRightInd/>
        <w:snapToGrid/>
        <w:spacing w:before="18" w:line="360" w:lineRule="auto"/>
        <w:ind w:left="544" w:firstLine="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出现下列情况之一时，将被撤销认证注册资格：</w:t>
      </w:r>
    </w:p>
    <w:p w14:paraId="327A2B1C">
      <w:pPr>
        <w:pStyle w:val="81"/>
        <w:keepNext w:val="0"/>
        <w:keepLines w:val="0"/>
        <w:pageBreakBefore w:val="0"/>
        <w:widowControl w:val="0"/>
        <w:numPr>
          <w:ilvl w:val="2"/>
          <w:numId w:val="0"/>
        </w:numPr>
        <w:tabs>
          <w:tab w:val="left" w:pos="1120"/>
        </w:tabs>
        <w:kinsoku/>
        <w:wordWrap/>
        <w:overflowPunct/>
        <w:topLinePunct w:val="0"/>
        <w:autoSpaceDE w:val="0"/>
        <w:autoSpaceDN w:val="0"/>
        <w:bidi w:val="0"/>
        <w:adjustRightInd/>
        <w:snapToGrid/>
        <w:spacing w:before="11" w:after="0" w:line="360" w:lineRule="auto"/>
        <w:ind w:left="1120" w:leftChars="0" w:right="0" w:rightChars="0" w:hanging="576"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9.2.1</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组织申请撤销</w:t>
      </w:r>
    </w:p>
    <w:p w14:paraId="474373B5">
      <w:pPr>
        <w:pStyle w:val="81"/>
        <w:keepNext w:val="0"/>
        <w:keepLines w:val="0"/>
        <w:pageBreakBefore w:val="0"/>
        <w:widowControl w:val="0"/>
        <w:numPr>
          <w:ilvl w:val="2"/>
          <w:numId w:val="0"/>
        </w:numPr>
        <w:tabs>
          <w:tab w:val="left" w:pos="1120"/>
        </w:tabs>
        <w:kinsoku/>
        <w:wordWrap/>
        <w:overflowPunct/>
        <w:topLinePunct w:val="0"/>
        <w:autoSpaceDE w:val="0"/>
        <w:autoSpaceDN w:val="0"/>
        <w:bidi w:val="0"/>
        <w:adjustRightInd/>
        <w:snapToGrid/>
        <w:spacing w:before="14" w:after="0" w:line="360" w:lineRule="auto"/>
        <w:ind w:left="1120" w:leftChars="0" w:right="0" w:rightChars="0" w:hanging="576"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9.2.2</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其他情况：</w:t>
      </w:r>
    </w:p>
    <w:p w14:paraId="48855B6E">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4"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w:t>
      </w:r>
      <w:r>
        <w:rPr>
          <w:rFonts w:hint="eastAsia" w:ascii="宋体" w:hAnsi="宋体" w:eastAsia="宋体" w:cs="宋体"/>
          <w:color w:val="auto"/>
          <w:sz w:val="21"/>
          <w:szCs w:val="21"/>
          <w:highlight w:val="none"/>
        </w:rPr>
        <w:t>拒绝对不符合项采取纠正和纠正措施的；</w:t>
      </w:r>
    </w:p>
    <w:p w14:paraId="08D1B0A4">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1"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2)</w:t>
      </w:r>
      <w:r>
        <w:rPr>
          <w:rFonts w:hint="eastAsia" w:ascii="宋体" w:hAnsi="宋体" w:eastAsia="宋体" w:cs="宋体"/>
          <w:color w:val="auto"/>
          <w:sz w:val="21"/>
          <w:szCs w:val="21"/>
          <w:highlight w:val="none"/>
        </w:rPr>
        <w:t>获证组织停业或关闭；</w:t>
      </w:r>
    </w:p>
    <w:p w14:paraId="5F5D7C0D">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4"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3)</w:t>
      </w:r>
      <w:r>
        <w:rPr>
          <w:rFonts w:hint="eastAsia" w:ascii="宋体" w:hAnsi="宋体" w:eastAsia="宋体" w:cs="宋体"/>
          <w:color w:val="auto"/>
          <w:sz w:val="21"/>
          <w:szCs w:val="21"/>
          <w:highlight w:val="none"/>
        </w:rPr>
        <w:t>被注销或撤销法律地位证明文件的；</w:t>
      </w:r>
    </w:p>
    <w:p w14:paraId="27E4E485">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3"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4)</w:t>
      </w:r>
      <w:r>
        <w:rPr>
          <w:rFonts w:hint="eastAsia" w:ascii="宋体" w:hAnsi="宋体" w:eastAsia="宋体" w:cs="宋体"/>
          <w:color w:val="auto"/>
          <w:sz w:val="21"/>
          <w:szCs w:val="21"/>
          <w:highlight w:val="none"/>
        </w:rPr>
        <w:t>相关方重大投诉未能采取有效处理措施的；</w:t>
      </w:r>
    </w:p>
    <w:p w14:paraId="1DBA106D">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2"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5)</w:t>
      </w:r>
      <w:r>
        <w:rPr>
          <w:rFonts w:hint="eastAsia" w:ascii="宋体" w:hAnsi="宋体" w:eastAsia="宋体" w:cs="宋体"/>
          <w:color w:val="auto"/>
          <w:sz w:val="21"/>
          <w:szCs w:val="21"/>
          <w:highlight w:val="none"/>
        </w:rPr>
        <w:t>虚报、瞒报获证所需信息的；</w:t>
      </w:r>
    </w:p>
    <w:p w14:paraId="552DBA4B">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3"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6)</w:t>
      </w:r>
      <w:r>
        <w:rPr>
          <w:rFonts w:hint="eastAsia" w:ascii="宋体" w:hAnsi="宋体" w:eastAsia="宋体" w:cs="宋体"/>
          <w:color w:val="auto"/>
          <w:sz w:val="21"/>
          <w:szCs w:val="21"/>
          <w:highlight w:val="none"/>
        </w:rPr>
        <w:t>被列入质量信用严重失信企业名单；</w:t>
      </w:r>
    </w:p>
    <w:p w14:paraId="0FDC46F9">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4"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7)</w:t>
      </w:r>
      <w:r>
        <w:rPr>
          <w:rFonts w:hint="eastAsia" w:ascii="宋体" w:hAnsi="宋体" w:eastAsia="宋体" w:cs="宋体"/>
          <w:color w:val="auto"/>
          <w:sz w:val="21"/>
          <w:szCs w:val="21"/>
          <w:highlight w:val="none"/>
        </w:rPr>
        <w:t>被政府列入“严重违法企业名单”；</w:t>
      </w:r>
    </w:p>
    <w:p w14:paraId="4237338D">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1"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8)</w:t>
      </w:r>
      <w:r>
        <w:rPr>
          <w:rFonts w:hint="eastAsia" w:ascii="宋体" w:hAnsi="宋体" w:eastAsia="宋体" w:cs="宋体"/>
          <w:color w:val="auto"/>
          <w:sz w:val="21"/>
          <w:szCs w:val="21"/>
          <w:highlight w:val="none"/>
        </w:rPr>
        <w:t>拒绝配合认证监管部门实施的监督检查，或者对有关事项的询问和调查提供了虚假材料或信息的；</w:t>
      </w:r>
    </w:p>
    <w:p w14:paraId="2EC7F2CB">
      <w:pPr>
        <w:pStyle w:val="81"/>
        <w:keepNext w:val="0"/>
        <w:keepLines w:val="0"/>
        <w:pageBreakBefore w:val="0"/>
        <w:widowControl w:val="0"/>
        <w:numPr>
          <w:ilvl w:val="0"/>
          <w:numId w:val="0"/>
        </w:numPr>
        <w:tabs>
          <w:tab w:val="left" w:pos="947"/>
          <w:tab w:val="left" w:pos="948"/>
        </w:tabs>
        <w:kinsoku/>
        <w:wordWrap/>
        <w:overflowPunct/>
        <w:topLinePunct w:val="0"/>
        <w:autoSpaceDE w:val="0"/>
        <w:autoSpaceDN w:val="0"/>
        <w:bidi w:val="0"/>
        <w:adjustRightInd/>
        <w:snapToGrid/>
        <w:spacing w:before="14"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9)</w:t>
      </w:r>
      <w:r>
        <w:rPr>
          <w:rFonts w:hint="eastAsia" w:ascii="宋体" w:hAnsi="宋体" w:eastAsia="宋体" w:cs="宋体"/>
          <w:color w:val="auto"/>
          <w:sz w:val="21"/>
          <w:szCs w:val="21"/>
          <w:highlight w:val="none"/>
        </w:rPr>
        <w:t>拒绝接受国家产品质量监督抽查的；</w:t>
      </w:r>
    </w:p>
    <w:p w14:paraId="234F691E">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14" w:after="0" w:line="360" w:lineRule="auto"/>
        <w:ind w:left="107" w:leftChars="0" w:right="247"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10)</w:t>
      </w:r>
      <w:r>
        <w:rPr>
          <w:rFonts w:hint="eastAsia" w:ascii="宋体" w:hAnsi="宋体" w:eastAsia="宋体" w:cs="宋体"/>
          <w:color w:val="auto"/>
          <w:sz w:val="21"/>
          <w:szCs w:val="21"/>
          <w:highlight w:val="none"/>
        </w:rPr>
        <w:t>出现重大的产品和服务等质量安全、环境、生产安全卫生事故，经执法监管部门确认是获证组织违规造成的，或经机构落实属于获证组织体系建立及运行存有重大缺陷。</w:t>
      </w:r>
    </w:p>
    <w:p w14:paraId="3F9AC4FF">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2"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11)</w:t>
      </w:r>
      <w:r>
        <w:rPr>
          <w:rFonts w:hint="eastAsia" w:ascii="宋体" w:hAnsi="宋体" w:eastAsia="宋体" w:cs="宋体"/>
          <w:color w:val="auto"/>
          <w:sz w:val="21"/>
          <w:szCs w:val="21"/>
          <w:highlight w:val="none"/>
        </w:rPr>
        <w:t>有其他严重违反法律法规行为的；</w:t>
      </w:r>
    </w:p>
    <w:p w14:paraId="03F0D63F">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13" w:after="0" w:line="360" w:lineRule="auto"/>
        <w:ind w:left="107" w:leftChars="0" w:right="245"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12)</w:t>
      </w:r>
      <w:r>
        <w:rPr>
          <w:rFonts w:hint="eastAsia" w:ascii="宋体" w:hAnsi="宋体" w:eastAsia="宋体" w:cs="宋体"/>
          <w:color w:val="auto"/>
          <w:sz w:val="21"/>
          <w:szCs w:val="21"/>
          <w:highlight w:val="none"/>
        </w:rPr>
        <w:t>暂停认证证书的期限已满但导致暂停的问题未得到解决或纠正和纠正措施的（包括持有的与管理体系范围有关的行政许可证明、资质证书、强制性认证证书等已经过期失效但申请未获批准）；</w:t>
      </w:r>
    </w:p>
    <w:p w14:paraId="2DD89BF6">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2"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13)</w:t>
      </w:r>
      <w:r>
        <w:rPr>
          <w:rFonts w:hint="eastAsia" w:ascii="宋体" w:hAnsi="宋体" w:eastAsia="宋体" w:cs="宋体"/>
          <w:color w:val="auto"/>
          <w:sz w:val="21"/>
          <w:szCs w:val="21"/>
          <w:highlight w:val="none"/>
        </w:rPr>
        <w:t>没有运行管理体系或者已不具备运行条件的；</w:t>
      </w:r>
    </w:p>
    <w:p w14:paraId="5CE75CE1">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14" w:after="0" w:line="360" w:lineRule="auto"/>
        <w:ind w:left="107" w:leftChars="0" w:right="247"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14)</w:t>
      </w:r>
      <w:r>
        <w:rPr>
          <w:rFonts w:hint="eastAsia" w:ascii="宋体" w:hAnsi="宋体" w:eastAsia="宋体" w:cs="宋体"/>
          <w:color w:val="auto"/>
          <w:sz w:val="21"/>
          <w:szCs w:val="21"/>
          <w:highlight w:val="none"/>
        </w:rPr>
        <w:t>不按相关规定正确引用和宣传获得的认证信息，造成严重影响或后果，或者认证机构已要求其纠正但</w:t>
      </w:r>
      <w:r>
        <w:rPr>
          <w:rFonts w:hint="eastAsia" w:ascii="宋体" w:hAnsi="宋体" w:eastAsia="宋体" w:cs="宋体"/>
          <w:color w:val="auto"/>
          <w:spacing w:val="-4"/>
          <w:sz w:val="21"/>
          <w:szCs w:val="21"/>
          <w:highlight w:val="none"/>
        </w:rPr>
        <w:t xml:space="preserve">超过 </w:t>
      </w:r>
      <w:r>
        <w:rPr>
          <w:rFonts w:hint="eastAsia" w:ascii="宋体" w:hAnsi="宋体" w:eastAsia="宋体" w:cs="宋体"/>
          <w:color w:val="auto"/>
          <w:sz w:val="21"/>
          <w:szCs w:val="21"/>
          <w:highlight w:val="none"/>
        </w:rPr>
        <w:t>2</w:t>
      </w:r>
      <w:r>
        <w:rPr>
          <w:rFonts w:hint="eastAsia" w:ascii="宋体" w:hAnsi="宋体" w:eastAsia="宋体" w:cs="宋体"/>
          <w:color w:val="auto"/>
          <w:spacing w:val="-3"/>
          <w:sz w:val="21"/>
          <w:szCs w:val="21"/>
          <w:highlight w:val="none"/>
        </w:rPr>
        <w:t xml:space="preserve"> 个月仍未纠正的；</w:t>
      </w:r>
    </w:p>
    <w:p w14:paraId="5251A113">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2"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15)</w:t>
      </w:r>
      <w:r>
        <w:rPr>
          <w:rFonts w:hint="eastAsia" w:ascii="宋体" w:hAnsi="宋体" w:eastAsia="宋体" w:cs="宋体"/>
          <w:color w:val="auto"/>
          <w:sz w:val="21"/>
          <w:szCs w:val="21"/>
          <w:highlight w:val="none"/>
        </w:rPr>
        <w:t>证书有效期内换发新证书；</w:t>
      </w:r>
    </w:p>
    <w:p w14:paraId="76A2EF6A">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13"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16)</w:t>
      </w:r>
      <w:r>
        <w:rPr>
          <w:rFonts w:hint="eastAsia" w:ascii="宋体" w:hAnsi="宋体" w:eastAsia="宋体" w:cs="宋体"/>
          <w:color w:val="auto"/>
          <w:sz w:val="21"/>
          <w:szCs w:val="21"/>
          <w:highlight w:val="none"/>
        </w:rPr>
        <w:t>故意或持续的不满足国家相关法律法规要求的；</w:t>
      </w:r>
    </w:p>
    <w:p w14:paraId="1820D5AC">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12"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17)</w:t>
      </w:r>
      <w:r>
        <w:rPr>
          <w:rFonts w:hint="eastAsia" w:ascii="宋体" w:hAnsi="宋体" w:eastAsia="宋体" w:cs="宋体"/>
          <w:color w:val="auto"/>
          <w:sz w:val="21"/>
          <w:szCs w:val="21"/>
          <w:highlight w:val="none"/>
        </w:rPr>
        <w:t>不再生产获证范围内产品的或不再提供获证范围内服务的；</w:t>
      </w:r>
    </w:p>
    <w:p w14:paraId="04BCC48D">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14"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18)</w:t>
      </w:r>
      <w:r>
        <w:rPr>
          <w:rFonts w:hint="eastAsia" w:ascii="宋体" w:hAnsi="宋体" w:eastAsia="宋体" w:cs="宋体"/>
          <w:color w:val="auto"/>
          <w:sz w:val="21"/>
          <w:szCs w:val="21"/>
          <w:highlight w:val="none"/>
        </w:rPr>
        <w:t>获证组织管理体系不符合认证依据或相关产品不符合执行标注要求，需要立即撤销认证证书的；</w:t>
      </w:r>
    </w:p>
    <w:p w14:paraId="3284361B">
      <w:pPr>
        <w:pStyle w:val="81"/>
        <w:keepNext w:val="0"/>
        <w:keepLines w:val="0"/>
        <w:pageBreakBefore w:val="0"/>
        <w:widowControl w:val="0"/>
        <w:numPr>
          <w:ilvl w:val="0"/>
          <w:numId w:val="0"/>
        </w:numPr>
        <w:tabs>
          <w:tab w:val="left" w:pos="948"/>
        </w:tabs>
        <w:kinsoku/>
        <w:wordWrap/>
        <w:overflowPunct/>
        <w:topLinePunct w:val="0"/>
        <w:autoSpaceDE w:val="0"/>
        <w:autoSpaceDN w:val="0"/>
        <w:bidi w:val="0"/>
        <w:adjustRightInd/>
        <w:snapToGrid/>
        <w:spacing w:before="13" w:after="0" w:line="360" w:lineRule="auto"/>
        <w:ind w:left="947" w:leftChars="0" w:right="0" w:rightChars="0" w:hanging="40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19)</w:t>
      </w:r>
      <w:r>
        <w:rPr>
          <w:rFonts w:hint="eastAsia" w:ascii="宋体" w:hAnsi="宋体" w:eastAsia="宋体" w:cs="宋体"/>
          <w:color w:val="auto"/>
          <w:sz w:val="21"/>
          <w:szCs w:val="21"/>
          <w:highlight w:val="none"/>
        </w:rPr>
        <w:t>其他应当撤销认证证书的情况。</w:t>
      </w:r>
    </w:p>
    <w:p w14:paraId="0F1647FF">
      <w:pPr>
        <w:pStyle w:val="81"/>
        <w:keepNext w:val="0"/>
        <w:keepLines w:val="0"/>
        <w:pageBreakBefore w:val="0"/>
        <w:widowControl w:val="0"/>
        <w:numPr>
          <w:ilvl w:val="1"/>
          <w:numId w:val="0"/>
        </w:numPr>
        <w:tabs>
          <w:tab w:val="left" w:pos="945"/>
        </w:tabs>
        <w:kinsoku/>
        <w:wordWrap/>
        <w:overflowPunct/>
        <w:topLinePunct w:val="0"/>
        <w:autoSpaceDE w:val="0"/>
        <w:autoSpaceDN w:val="0"/>
        <w:bidi w:val="0"/>
        <w:adjustRightInd/>
        <w:snapToGrid/>
        <w:spacing w:before="12" w:after="0" w:line="360" w:lineRule="auto"/>
        <w:ind w:left="944" w:leftChars="0" w:right="0" w:rightChars="0" w:hanging="40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9.3</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暂停、撤销的处理程序</w:t>
      </w:r>
    </w:p>
    <w:p w14:paraId="4C3708F1">
      <w:pPr>
        <w:pStyle w:val="81"/>
        <w:keepNext w:val="0"/>
        <w:keepLines w:val="0"/>
        <w:pageBreakBefore w:val="0"/>
        <w:widowControl w:val="0"/>
        <w:numPr>
          <w:ilvl w:val="2"/>
          <w:numId w:val="0"/>
        </w:numPr>
        <w:tabs>
          <w:tab w:val="left" w:pos="1068"/>
        </w:tabs>
        <w:kinsoku/>
        <w:wordWrap/>
        <w:overflowPunct/>
        <w:topLinePunct w:val="0"/>
        <w:autoSpaceDE w:val="0"/>
        <w:autoSpaceDN w:val="0"/>
        <w:bidi w:val="0"/>
        <w:adjustRightInd/>
        <w:snapToGrid/>
        <w:spacing w:before="13" w:after="0" w:line="360" w:lineRule="auto"/>
        <w:ind w:left="107" w:leftChars="0" w:right="246" w:rightChars="0" w:firstLine="437"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9.3.1</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作出暂停使用认证证书的决定后（暂停期限一般为六个月），</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将书面通知该获证组织，规定整改期限和恢复使用证书的条件，并将此决定报认证认可业务信息统一上报平台。获证组织在暂停期间不能在任何媒体上发布任何消息暗指证书仍然有效，不能使用证书和标志，并按规定交回证书。</w:t>
      </w:r>
    </w:p>
    <w:p w14:paraId="664FB17C">
      <w:pPr>
        <w:pStyle w:val="16"/>
        <w:keepNext w:val="0"/>
        <w:keepLines w:val="0"/>
        <w:pageBreakBefore w:val="0"/>
        <w:widowControl w:val="0"/>
        <w:kinsoku/>
        <w:wordWrap/>
        <w:overflowPunct/>
        <w:topLinePunct w:val="0"/>
        <w:autoSpaceDE w:val="0"/>
        <w:autoSpaceDN w:val="0"/>
        <w:bidi w:val="0"/>
        <w:adjustRightInd/>
        <w:snapToGrid/>
        <w:spacing w:before="4" w:line="360" w:lineRule="auto"/>
        <w:ind w:right="248" w:firstLine="436"/>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en-US" w:bidi="ar-SA"/>
        </w:rPr>
        <w:t>暂停注册组织在规定期限内完成纠正措施时，向</w:t>
      </w:r>
      <w:r>
        <w:rPr>
          <w:rFonts w:hint="eastAsia" w:ascii="宋体" w:hAnsi="宋体" w:eastAsia="宋体" w:cs="宋体"/>
          <w:color w:val="auto"/>
          <w:sz w:val="21"/>
          <w:szCs w:val="21"/>
          <w:highlight w:val="none"/>
          <w:lang w:val="en-US" w:eastAsia="zh-CN" w:bidi="ar-SA"/>
        </w:rPr>
        <w:t>春晖国际认证</w:t>
      </w:r>
      <w:r>
        <w:rPr>
          <w:rFonts w:hint="eastAsia" w:ascii="宋体" w:hAnsi="宋体" w:eastAsia="宋体" w:cs="宋体"/>
          <w:color w:val="auto"/>
          <w:sz w:val="21"/>
          <w:szCs w:val="21"/>
          <w:highlight w:val="none"/>
          <w:lang w:val="en-US" w:eastAsia="en-US" w:bidi="ar-SA"/>
        </w:rPr>
        <w:t>提出恢复注册申请，</w:t>
      </w:r>
      <w:r>
        <w:rPr>
          <w:rFonts w:hint="eastAsia" w:ascii="宋体" w:hAnsi="宋体" w:eastAsia="宋体" w:cs="宋体"/>
          <w:color w:val="auto"/>
          <w:sz w:val="21"/>
          <w:szCs w:val="21"/>
          <w:highlight w:val="none"/>
          <w:lang w:val="en-US" w:eastAsia="zh-CN" w:bidi="ar-SA"/>
        </w:rPr>
        <w:t>春晖国际认证</w:t>
      </w:r>
      <w:r>
        <w:rPr>
          <w:rFonts w:hint="eastAsia" w:ascii="宋体" w:hAnsi="宋体" w:eastAsia="宋体" w:cs="宋体"/>
          <w:color w:val="auto"/>
          <w:sz w:val="21"/>
          <w:szCs w:val="21"/>
          <w:highlight w:val="none"/>
          <w:lang w:val="en-US" w:eastAsia="en-US" w:bidi="ar-SA"/>
        </w:rPr>
        <w:t>将及时做出有关恢复安</w:t>
      </w:r>
      <w:r>
        <w:rPr>
          <w:rFonts w:hint="eastAsia" w:ascii="宋体" w:hAnsi="宋体" w:eastAsia="宋体" w:cs="宋体"/>
          <w:color w:val="auto"/>
          <w:spacing w:val="-1"/>
          <w:sz w:val="21"/>
          <w:szCs w:val="21"/>
          <w:highlight w:val="none"/>
        </w:rPr>
        <w:t>排。当确认导致暂停的原因消除后，</w:t>
      </w:r>
      <w:r>
        <w:rPr>
          <w:rFonts w:hint="eastAsia" w:ascii="宋体" w:hAnsi="宋体" w:eastAsia="宋体" w:cs="宋体"/>
          <w:color w:val="auto"/>
          <w:spacing w:val="-1"/>
          <w:sz w:val="21"/>
          <w:szCs w:val="21"/>
          <w:highlight w:val="none"/>
          <w:lang w:eastAsia="zh-CN"/>
        </w:rPr>
        <w:t>春晖国际认证</w:t>
      </w:r>
      <w:r>
        <w:rPr>
          <w:rFonts w:hint="eastAsia" w:ascii="宋体" w:hAnsi="宋体" w:eastAsia="宋体" w:cs="宋体"/>
          <w:color w:val="auto"/>
          <w:spacing w:val="-1"/>
          <w:sz w:val="21"/>
          <w:szCs w:val="21"/>
          <w:highlight w:val="none"/>
        </w:rPr>
        <w:t>技委会作出恢复认证注册的决定，以书面形式通知该获证组织恢复使用认证证书，同时上报认证认可业务信息统一上报平台。</w:t>
      </w:r>
    </w:p>
    <w:p w14:paraId="36F32AB3">
      <w:pPr>
        <w:pStyle w:val="16"/>
        <w:keepNext w:val="0"/>
        <w:keepLines w:val="0"/>
        <w:pageBreakBefore w:val="0"/>
        <w:widowControl w:val="0"/>
        <w:kinsoku/>
        <w:wordWrap/>
        <w:overflowPunct/>
        <w:topLinePunct w:val="0"/>
        <w:autoSpaceDE w:val="0"/>
        <w:autoSpaceDN w:val="0"/>
        <w:bidi w:val="0"/>
        <w:adjustRightInd/>
        <w:snapToGrid/>
        <w:spacing w:before="4" w:line="360" w:lineRule="auto"/>
        <w:ind w:right="245" w:firstLine="43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恢复注册审核收费标准为：结合监督审核进行恢复注册现场审核时，加收 1000 元每体系服务费用；如需专门增加一次恢复注册现场审核时，则按认证合同收取一次监督审核费。</w:t>
      </w:r>
    </w:p>
    <w:p w14:paraId="400E0F4B">
      <w:pPr>
        <w:pStyle w:val="81"/>
        <w:keepNext w:val="0"/>
        <w:keepLines w:val="0"/>
        <w:pageBreakBefore w:val="0"/>
        <w:widowControl w:val="0"/>
        <w:numPr>
          <w:ilvl w:val="2"/>
          <w:numId w:val="0"/>
        </w:numPr>
        <w:tabs>
          <w:tab w:val="left" w:pos="1120"/>
        </w:tabs>
        <w:kinsoku/>
        <w:wordWrap/>
        <w:overflowPunct/>
        <w:topLinePunct w:val="0"/>
        <w:autoSpaceDE w:val="0"/>
        <w:autoSpaceDN w:val="0"/>
        <w:bidi w:val="0"/>
        <w:adjustRightInd/>
        <w:snapToGrid/>
        <w:spacing w:before="0" w:after="0" w:line="360" w:lineRule="auto"/>
        <w:ind w:left="1120" w:leftChars="0" w:right="0" w:rightChars="0" w:hanging="576"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9.3.2</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作出撤销认证注册资格决定后，</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将及时上报认证认可业务信息统一上报平台，并将收回该组织的认证证书，并利用网络等媒介公布撤销注册决定。</w:t>
      </w:r>
    </w:p>
    <w:p w14:paraId="7C9067A4">
      <w:pPr>
        <w:pStyle w:val="81"/>
        <w:keepNext w:val="0"/>
        <w:keepLines w:val="0"/>
        <w:pageBreakBefore w:val="0"/>
        <w:widowControl w:val="0"/>
        <w:numPr>
          <w:ilvl w:val="1"/>
          <w:numId w:val="0"/>
        </w:numPr>
        <w:tabs>
          <w:tab w:val="left" w:pos="945"/>
        </w:tabs>
        <w:kinsoku/>
        <w:wordWrap/>
        <w:overflowPunct/>
        <w:topLinePunct w:val="0"/>
        <w:autoSpaceDE w:val="0"/>
        <w:autoSpaceDN w:val="0"/>
        <w:bidi w:val="0"/>
        <w:adjustRightInd/>
        <w:snapToGrid/>
        <w:spacing w:before="11" w:after="0" w:line="360" w:lineRule="auto"/>
        <w:ind w:left="944" w:leftChars="0" w:right="0" w:rightChars="0" w:hanging="40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9.4</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缩小认证范围</w:t>
      </w:r>
    </w:p>
    <w:p w14:paraId="20DCAA1D">
      <w:pPr>
        <w:pStyle w:val="81"/>
        <w:keepNext w:val="0"/>
        <w:keepLines w:val="0"/>
        <w:pageBreakBefore w:val="0"/>
        <w:widowControl w:val="0"/>
        <w:numPr>
          <w:ilvl w:val="2"/>
          <w:numId w:val="0"/>
        </w:numPr>
        <w:tabs>
          <w:tab w:val="left" w:pos="1070"/>
        </w:tabs>
        <w:kinsoku/>
        <w:wordWrap/>
        <w:overflowPunct/>
        <w:topLinePunct w:val="0"/>
        <w:autoSpaceDE w:val="0"/>
        <w:autoSpaceDN w:val="0"/>
        <w:bidi w:val="0"/>
        <w:adjustRightInd/>
        <w:snapToGrid/>
        <w:spacing w:before="14" w:after="0" w:line="360" w:lineRule="auto"/>
        <w:ind w:left="107" w:leftChars="0" w:right="245"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9.4.1</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获证组织要求缩小认证范围时，应向</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提出书面申请，经</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审查确认其合理性后，缩小范围换发认证证书。</w:t>
      </w:r>
    </w:p>
    <w:p w14:paraId="3B0AE79D">
      <w:pPr>
        <w:pStyle w:val="81"/>
        <w:keepNext w:val="0"/>
        <w:keepLines w:val="0"/>
        <w:pageBreakBefore w:val="0"/>
        <w:widowControl w:val="0"/>
        <w:numPr>
          <w:ilvl w:val="2"/>
          <w:numId w:val="0"/>
        </w:numPr>
        <w:tabs>
          <w:tab w:val="left" w:pos="1120"/>
        </w:tabs>
        <w:kinsoku/>
        <w:wordWrap/>
        <w:overflowPunct/>
        <w:topLinePunct w:val="0"/>
        <w:autoSpaceDE w:val="0"/>
        <w:autoSpaceDN w:val="0"/>
        <w:bidi w:val="0"/>
        <w:adjustRightInd/>
        <w:snapToGrid/>
        <w:spacing w:before="0" w:after="0" w:line="360" w:lineRule="auto"/>
        <w:ind w:left="107" w:leftChars="0" w:right="248"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9.4.2</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在监督审核或其他时机发现获证企业在认证范围的某些部分持续地或严重地不满足认证要求、认证范围的某些部分不再生产/提供，认证机构将缩小证书覆盖范围，以排除不满足要求或消失的部分。</w:t>
      </w:r>
    </w:p>
    <w:p w14:paraId="4D282D12">
      <w:pPr>
        <w:pStyle w:val="81"/>
        <w:keepNext w:val="0"/>
        <w:keepLines w:val="0"/>
        <w:pageBreakBefore w:val="0"/>
        <w:widowControl w:val="0"/>
        <w:numPr>
          <w:ilvl w:val="2"/>
          <w:numId w:val="0"/>
        </w:numPr>
        <w:tabs>
          <w:tab w:val="left" w:pos="1120"/>
        </w:tabs>
        <w:kinsoku/>
        <w:wordWrap/>
        <w:overflowPunct/>
        <w:topLinePunct w:val="0"/>
        <w:autoSpaceDE w:val="0"/>
        <w:autoSpaceDN w:val="0"/>
        <w:bidi w:val="0"/>
        <w:adjustRightInd/>
        <w:snapToGrid/>
        <w:spacing w:before="0" w:after="0" w:line="360" w:lineRule="auto"/>
        <w:ind w:left="107" w:leftChars="0" w:right="245"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9.4.3</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换发新证书后，企业按规定交回原证书，并立即停止对被缩小的认证范围的相关宣传，包括这部分的范围的证书和标志使用。</w:t>
      </w:r>
    </w:p>
    <w:p w14:paraId="43FD9428">
      <w:pPr>
        <w:keepNext w:val="0"/>
        <w:keepLines w:val="0"/>
        <w:pageBreakBefore w:val="0"/>
        <w:widowControl w:val="0"/>
        <w:kinsoku/>
        <w:wordWrap/>
        <w:overflowPunct/>
        <w:topLinePunct w:val="0"/>
        <w:autoSpaceDE w:val="0"/>
        <w:autoSpaceDN w:val="0"/>
        <w:bidi w:val="0"/>
        <w:adjustRightInd/>
        <w:snapToGrid/>
        <w:spacing w:before="0" w:line="360" w:lineRule="auto"/>
        <w:ind w:left="544" w:right="0" w:firstLine="0"/>
        <w:jc w:val="left"/>
        <w:textAlignment w:val="auto"/>
        <w:rPr>
          <w:rFonts w:hint="eastAsia" w:ascii="宋体" w:hAnsi="宋体" w:eastAsia="宋体" w:cs="宋体"/>
          <w:b/>
          <w:color w:val="auto"/>
          <w:sz w:val="21"/>
          <w:szCs w:val="21"/>
          <w:highlight w:val="none"/>
        </w:rPr>
      </w:pPr>
      <w:bookmarkStart w:id="24" w:name="十、禁止转换机构认证有关政策的说明"/>
      <w:bookmarkEnd w:id="24"/>
      <w:bookmarkStart w:id="25" w:name="_bookmark10"/>
      <w:bookmarkEnd w:id="25"/>
      <w:r>
        <w:rPr>
          <w:rFonts w:hint="eastAsia" w:ascii="宋体" w:hAnsi="宋体" w:eastAsia="宋体" w:cs="宋体"/>
          <w:b/>
          <w:color w:val="auto"/>
          <w:sz w:val="21"/>
          <w:szCs w:val="21"/>
          <w:highlight w:val="none"/>
        </w:rPr>
        <w:t>十、禁止转换机构认证有关政策的说明</w:t>
      </w:r>
    </w:p>
    <w:p w14:paraId="503731EE">
      <w:pPr>
        <w:pStyle w:val="16"/>
        <w:keepNext w:val="0"/>
        <w:keepLines w:val="0"/>
        <w:pageBreakBefore w:val="0"/>
        <w:widowControl w:val="0"/>
        <w:kinsoku/>
        <w:wordWrap/>
        <w:overflowPunct/>
        <w:topLinePunct w:val="0"/>
        <w:autoSpaceDE w:val="0"/>
        <w:autoSpaceDN w:val="0"/>
        <w:bidi w:val="0"/>
        <w:adjustRightInd/>
        <w:snapToGrid/>
        <w:spacing w:before="11" w:line="360" w:lineRule="auto"/>
        <w:ind w:right="245" w:firstLine="43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en-US" w:bidi="ar-SA"/>
        </w:rPr>
        <w:t>根据国家《认证机构公平竞争规范—与认证证书有关的有违公平竞争行为约束》的政策，就其禁止转换机</w:t>
      </w:r>
      <w:r>
        <w:rPr>
          <w:rFonts w:hint="eastAsia" w:ascii="宋体" w:hAnsi="宋体" w:eastAsia="宋体" w:cs="宋体"/>
          <w:color w:val="auto"/>
          <w:spacing w:val="-4"/>
          <w:sz w:val="21"/>
          <w:szCs w:val="21"/>
          <w:highlight w:val="none"/>
        </w:rPr>
        <w:t>构认证的有关政策规定作相关说明：</w:t>
      </w:r>
    </w:p>
    <w:p w14:paraId="13B8C1DA">
      <w:pPr>
        <w:pStyle w:val="16"/>
        <w:keepNext w:val="0"/>
        <w:keepLines w:val="0"/>
        <w:pageBreakBefore w:val="0"/>
        <w:widowControl w:val="0"/>
        <w:kinsoku/>
        <w:wordWrap/>
        <w:overflowPunct/>
        <w:topLinePunct w:val="0"/>
        <w:autoSpaceDE w:val="0"/>
        <w:autoSpaceDN w:val="0"/>
        <w:bidi w:val="0"/>
        <w:adjustRightInd/>
        <w:snapToGrid/>
        <w:spacing w:line="360" w:lineRule="auto"/>
        <w:ind w:right="246" w:firstLine="43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1、该政策适用于包括质量管理体系认证、环境管理体系认证、职业健康安全管理体系认证等管理体系认证活动；</w:t>
      </w:r>
    </w:p>
    <w:p w14:paraId="264DA9BD">
      <w:pPr>
        <w:pStyle w:val="16"/>
        <w:keepNext w:val="0"/>
        <w:keepLines w:val="0"/>
        <w:pageBreakBefore w:val="0"/>
        <w:widowControl w:val="0"/>
        <w:kinsoku/>
        <w:wordWrap/>
        <w:overflowPunct/>
        <w:topLinePunct w:val="0"/>
        <w:autoSpaceDE w:val="0"/>
        <w:autoSpaceDN w:val="0"/>
        <w:bidi w:val="0"/>
        <w:adjustRightInd/>
        <w:snapToGrid/>
        <w:spacing w:line="360" w:lineRule="auto"/>
        <w:ind w:left="544" w:firstLine="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2、该政策禁止获证组织随意自由地转换认证机构，有关规定如下：</w:t>
      </w:r>
    </w:p>
    <w:p w14:paraId="469B8B19">
      <w:pPr>
        <w:pStyle w:val="81"/>
        <w:keepNext w:val="0"/>
        <w:keepLines w:val="0"/>
        <w:pageBreakBefore w:val="0"/>
        <w:widowControl w:val="0"/>
        <w:numPr>
          <w:ilvl w:val="1"/>
          <w:numId w:val="0"/>
        </w:numPr>
        <w:tabs>
          <w:tab w:val="left" w:pos="945"/>
        </w:tabs>
        <w:kinsoku/>
        <w:wordWrap/>
        <w:overflowPunct/>
        <w:topLinePunct w:val="0"/>
        <w:autoSpaceDE w:val="0"/>
        <w:autoSpaceDN w:val="0"/>
        <w:bidi w:val="0"/>
        <w:adjustRightInd/>
        <w:snapToGrid/>
        <w:spacing w:before="12" w:after="0" w:line="360" w:lineRule="auto"/>
        <w:ind w:left="107" w:leftChars="0" w:right="248"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2.1</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特定认证机构发放的证书，应由其负责其后监督，其它机构未经批准，不得对该证书进行转换监督，不在该证书有效期内换发证书；</w:t>
      </w:r>
    </w:p>
    <w:p w14:paraId="2AEA3A4C">
      <w:pPr>
        <w:pStyle w:val="81"/>
        <w:keepNext w:val="0"/>
        <w:keepLines w:val="0"/>
        <w:pageBreakBefore w:val="0"/>
        <w:widowControl w:val="0"/>
        <w:numPr>
          <w:ilvl w:val="1"/>
          <w:numId w:val="0"/>
        </w:numPr>
        <w:tabs>
          <w:tab w:val="left" w:pos="945"/>
        </w:tabs>
        <w:kinsoku/>
        <w:wordWrap/>
        <w:overflowPunct/>
        <w:topLinePunct w:val="0"/>
        <w:autoSpaceDE w:val="0"/>
        <w:autoSpaceDN w:val="0"/>
        <w:bidi w:val="0"/>
        <w:adjustRightInd/>
        <w:snapToGrid/>
        <w:spacing w:before="2" w:after="0" w:line="360" w:lineRule="auto"/>
        <w:ind w:left="107" w:leftChars="0" w:right="141"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2.2</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认证机构对受审核方的监督审核、初次审核、再认证审核结论为不合格，不通过或不保持认证注册的；或认证机</w:t>
      </w:r>
      <w:r>
        <w:rPr>
          <w:rFonts w:hint="eastAsia" w:ascii="宋体" w:hAnsi="宋体" w:eastAsia="宋体" w:cs="宋体"/>
          <w:color w:val="auto"/>
          <w:spacing w:val="-9"/>
          <w:sz w:val="21"/>
          <w:szCs w:val="21"/>
          <w:highlight w:val="none"/>
        </w:rPr>
        <w:t>构暂停、撤销认证证书的</w:t>
      </w:r>
      <w:r>
        <w:rPr>
          <w:rFonts w:hint="eastAsia" w:ascii="宋体" w:hAnsi="宋体" w:eastAsia="宋体" w:cs="宋体"/>
          <w:color w:val="auto"/>
          <w:sz w:val="21"/>
          <w:szCs w:val="21"/>
          <w:highlight w:val="none"/>
        </w:rPr>
        <w:t>（见第九条</w:t>
      </w:r>
      <w:r>
        <w:rPr>
          <w:rFonts w:hint="eastAsia" w:ascii="宋体" w:hAnsi="宋体" w:eastAsia="宋体" w:cs="宋体"/>
          <w:color w:val="auto"/>
          <w:spacing w:val="-106"/>
          <w:sz w:val="21"/>
          <w:szCs w:val="21"/>
          <w:highlight w:val="none"/>
        </w:rPr>
        <w:t>）</w:t>
      </w:r>
      <w:r>
        <w:rPr>
          <w:rFonts w:hint="eastAsia" w:ascii="宋体" w:hAnsi="宋体" w:eastAsia="宋体" w:cs="宋体"/>
          <w:color w:val="auto"/>
          <w:spacing w:val="-7"/>
          <w:sz w:val="21"/>
          <w:szCs w:val="21"/>
          <w:highlight w:val="none"/>
        </w:rPr>
        <w:t>。自作出上述认证决定之日起，一年内其它认证机构不得受理该组织的认证申请及发放认证证书。</w:t>
      </w:r>
    </w:p>
    <w:p w14:paraId="6C1E9400">
      <w:pPr>
        <w:pStyle w:val="81"/>
        <w:keepNext w:val="0"/>
        <w:keepLines w:val="0"/>
        <w:pageBreakBefore w:val="0"/>
        <w:widowControl w:val="0"/>
        <w:numPr>
          <w:ilvl w:val="1"/>
          <w:numId w:val="0"/>
        </w:numPr>
        <w:tabs>
          <w:tab w:val="left" w:pos="945"/>
        </w:tabs>
        <w:kinsoku/>
        <w:wordWrap/>
        <w:overflowPunct/>
        <w:topLinePunct w:val="0"/>
        <w:autoSpaceDE w:val="0"/>
        <w:autoSpaceDN w:val="0"/>
        <w:bidi w:val="0"/>
        <w:adjustRightInd/>
        <w:snapToGrid/>
        <w:spacing w:before="4" w:after="0" w:line="360" w:lineRule="auto"/>
        <w:ind w:left="107" w:leftChars="0" w:right="245" w:rightChars="0" w:firstLine="437"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2.3</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全部认证证书延续状态均由各认证机构依据国家认证信息上报公布制度据实上报并公示于国家认监委官方信息（网站）平台上，供全社会查询和采信。其中，“2.2”所及的审核不通过、被暂停或撤销认证证书的有关信息，集合成为特殊控制的“暂禁转换认证”类信息，具有相当的负面性质，有关组织一旦名列其中，就意味着一年的“禁闭期”并成为“无证”组织，其形象、信誉及客户信任将受到不同程度的损害。</w:t>
      </w:r>
    </w:p>
    <w:p w14:paraId="11D8F225">
      <w:pPr>
        <w:pStyle w:val="16"/>
        <w:keepNext w:val="0"/>
        <w:keepLines w:val="0"/>
        <w:pageBreakBefore w:val="0"/>
        <w:widowControl w:val="0"/>
        <w:kinsoku/>
        <w:wordWrap/>
        <w:overflowPunct/>
        <w:topLinePunct w:val="0"/>
        <w:autoSpaceDE w:val="0"/>
        <w:autoSpaceDN w:val="0"/>
        <w:bidi w:val="0"/>
        <w:adjustRightInd/>
        <w:snapToGrid/>
        <w:spacing w:before="6" w:line="360" w:lineRule="auto"/>
        <w:ind w:right="141" w:firstLine="436"/>
        <w:textAlignment w:val="auto"/>
        <w:rPr>
          <w:rFonts w:hint="eastAsia" w:ascii="宋体" w:hAnsi="宋体" w:eastAsia="宋体" w:cs="宋体"/>
          <w:color w:val="auto"/>
          <w:sz w:val="21"/>
          <w:szCs w:val="21"/>
          <w:highlight w:val="none"/>
          <w:lang w:val="en-US" w:eastAsia="en-US" w:bidi="ar-SA"/>
        </w:rPr>
      </w:pPr>
      <w:r>
        <w:rPr>
          <w:rFonts w:hint="eastAsia" w:ascii="宋体" w:hAnsi="宋体" w:eastAsia="宋体" w:cs="宋体"/>
          <w:color w:val="auto"/>
          <w:spacing w:val="-1"/>
          <w:w w:val="99"/>
          <w:sz w:val="21"/>
          <w:szCs w:val="21"/>
          <w:highlight w:val="none"/>
        </w:rPr>
        <w:t>3</w:t>
      </w:r>
      <w:r>
        <w:rPr>
          <w:rFonts w:hint="eastAsia" w:ascii="宋体" w:hAnsi="宋体" w:eastAsia="宋体" w:cs="宋体"/>
          <w:color w:val="auto"/>
          <w:spacing w:val="-8"/>
          <w:w w:val="99"/>
          <w:sz w:val="21"/>
          <w:szCs w:val="21"/>
          <w:highlight w:val="none"/>
        </w:rPr>
        <w:t>、</w:t>
      </w:r>
      <w:r>
        <w:rPr>
          <w:rFonts w:hint="eastAsia" w:ascii="宋体" w:hAnsi="宋体" w:eastAsia="宋体" w:cs="宋体"/>
          <w:color w:val="auto"/>
          <w:sz w:val="21"/>
          <w:szCs w:val="21"/>
          <w:highlight w:val="none"/>
          <w:lang w:val="en-US" w:eastAsia="en-US" w:bidi="ar-SA"/>
        </w:rPr>
        <w:t>限于国家政策约束，</w:t>
      </w:r>
      <w:r>
        <w:rPr>
          <w:rFonts w:hint="eastAsia" w:ascii="宋体" w:hAnsi="宋体" w:eastAsia="宋体" w:cs="宋体"/>
          <w:color w:val="auto"/>
          <w:sz w:val="21"/>
          <w:szCs w:val="21"/>
          <w:highlight w:val="none"/>
          <w:lang w:val="en-US" w:eastAsia="zh-CN" w:bidi="ar-SA"/>
        </w:rPr>
        <w:t>春晖国际认证</w:t>
      </w:r>
      <w:r>
        <w:rPr>
          <w:rFonts w:hint="eastAsia" w:ascii="宋体" w:hAnsi="宋体" w:eastAsia="宋体" w:cs="宋体"/>
          <w:color w:val="auto"/>
          <w:sz w:val="21"/>
          <w:szCs w:val="21"/>
          <w:highlight w:val="none"/>
          <w:lang w:val="en-US" w:eastAsia="en-US" w:bidi="ar-SA"/>
        </w:rPr>
        <w:t>亦将按规定如实上报和公示证书状态信息包括：“暂禁转换认证”类信息。为避免被列入“暂禁转换认证”信息的情况非预期发生，</w:t>
      </w:r>
      <w:r>
        <w:rPr>
          <w:rFonts w:hint="eastAsia" w:ascii="宋体" w:hAnsi="宋体" w:eastAsia="宋体" w:cs="宋体"/>
          <w:color w:val="auto"/>
          <w:sz w:val="21"/>
          <w:szCs w:val="21"/>
          <w:highlight w:val="none"/>
          <w:lang w:val="en-US" w:eastAsia="zh-CN" w:bidi="ar-SA"/>
        </w:rPr>
        <w:t>春晖国际认证</w:t>
      </w:r>
      <w:r>
        <w:rPr>
          <w:rFonts w:hint="eastAsia" w:ascii="宋体" w:hAnsi="宋体" w:eastAsia="宋体" w:cs="宋体"/>
          <w:color w:val="auto"/>
          <w:sz w:val="21"/>
          <w:szCs w:val="21"/>
          <w:highlight w:val="none"/>
          <w:lang w:val="en-US" w:eastAsia="en-US" w:bidi="ar-SA"/>
        </w:rPr>
        <w:t>已</w:t>
      </w:r>
      <w:r>
        <w:rPr>
          <w:rFonts w:hint="eastAsia" w:ascii="宋体" w:hAnsi="宋体" w:eastAsia="宋体" w:cs="宋体"/>
          <w:color w:val="auto"/>
          <w:sz w:val="21"/>
          <w:szCs w:val="21"/>
          <w:highlight w:val="none"/>
          <w:lang w:val="en-US" w:eastAsia="zh-CN" w:bidi="ar-SA"/>
        </w:rPr>
        <w:t>责</w:t>
      </w:r>
      <w:r>
        <w:rPr>
          <w:rFonts w:hint="eastAsia" w:ascii="宋体" w:hAnsi="宋体" w:eastAsia="宋体" w:cs="宋体"/>
          <w:color w:val="auto"/>
          <w:sz w:val="21"/>
          <w:szCs w:val="21"/>
          <w:highlight w:val="none"/>
          <w:lang w:val="en-US" w:eastAsia="en-US" w:bidi="ar-SA"/>
        </w:rPr>
        <w:t>成</w:t>
      </w:r>
      <w:r>
        <w:rPr>
          <w:rFonts w:hint="eastAsia" w:ascii="宋体" w:hAnsi="宋体" w:eastAsia="宋体" w:cs="宋体"/>
          <w:color w:val="auto"/>
          <w:sz w:val="21"/>
          <w:szCs w:val="21"/>
          <w:highlight w:val="none"/>
          <w:lang w:val="en-US" w:eastAsia="zh-CN"/>
        </w:rPr>
        <w:t>运营</w:t>
      </w:r>
      <w:r>
        <w:rPr>
          <w:rFonts w:hint="eastAsia" w:ascii="宋体" w:hAnsi="宋体" w:eastAsia="宋体" w:cs="宋体"/>
          <w:color w:val="auto"/>
          <w:sz w:val="21"/>
          <w:szCs w:val="21"/>
          <w:highlight w:val="none"/>
          <w:lang w:val="en-US" w:eastAsia="en-US" w:bidi="ar-SA"/>
        </w:rPr>
        <w:t>部加强与客户间的联系，认真做好如期监督/再认证等活动的安排并强化预警机制；同时也请客户积极支持和配合我们的工作，有任何情况请及时与</w:t>
      </w:r>
      <w:r>
        <w:rPr>
          <w:rFonts w:hint="eastAsia" w:ascii="宋体" w:hAnsi="宋体" w:eastAsia="宋体" w:cs="宋体"/>
          <w:color w:val="auto"/>
          <w:sz w:val="21"/>
          <w:szCs w:val="21"/>
          <w:highlight w:val="none"/>
          <w:lang w:val="en-US" w:eastAsia="zh-CN" w:bidi="ar-SA"/>
        </w:rPr>
        <w:t>春晖国际认证</w:t>
      </w:r>
      <w:r>
        <w:rPr>
          <w:rFonts w:hint="eastAsia" w:ascii="宋体" w:hAnsi="宋体" w:eastAsia="宋体" w:cs="宋体"/>
          <w:color w:val="auto"/>
          <w:sz w:val="21"/>
          <w:szCs w:val="21"/>
          <w:highlight w:val="none"/>
          <w:lang w:val="en-US" w:eastAsia="en-US" w:bidi="ar-SA"/>
        </w:rPr>
        <w:t>沟通解决，以期规避不应有的“禁闭”（注：该禁闭期不妨碍原发证机构恢复认证注册）风险和利益伤害。</w:t>
      </w:r>
    </w:p>
    <w:p w14:paraId="10190934">
      <w:pPr>
        <w:keepNext w:val="0"/>
        <w:keepLines w:val="0"/>
        <w:pageBreakBefore w:val="0"/>
        <w:widowControl w:val="0"/>
        <w:kinsoku/>
        <w:wordWrap/>
        <w:overflowPunct/>
        <w:topLinePunct w:val="0"/>
        <w:autoSpaceDE w:val="0"/>
        <w:autoSpaceDN w:val="0"/>
        <w:bidi w:val="0"/>
        <w:adjustRightInd/>
        <w:snapToGrid/>
        <w:spacing w:before="0" w:line="360" w:lineRule="auto"/>
        <w:ind w:left="544" w:right="0" w:firstLine="0"/>
        <w:jc w:val="left"/>
        <w:textAlignment w:val="auto"/>
        <w:rPr>
          <w:rFonts w:hint="eastAsia" w:ascii="宋体" w:hAnsi="宋体" w:eastAsia="宋体" w:cs="宋体"/>
          <w:b/>
          <w:color w:val="auto"/>
          <w:sz w:val="21"/>
          <w:szCs w:val="21"/>
          <w:highlight w:val="none"/>
        </w:rPr>
      </w:pPr>
      <w:bookmarkStart w:id="26" w:name="_bookmark11"/>
      <w:bookmarkEnd w:id="26"/>
      <w:bookmarkStart w:id="27" w:name="十一、认证要求的变更的处理："/>
      <w:bookmarkEnd w:id="27"/>
      <w:r>
        <w:rPr>
          <w:rFonts w:hint="eastAsia" w:ascii="宋体" w:hAnsi="宋体" w:eastAsia="宋体" w:cs="宋体"/>
          <w:b/>
          <w:color w:val="auto"/>
          <w:sz w:val="21"/>
          <w:szCs w:val="21"/>
          <w:highlight w:val="none"/>
        </w:rPr>
        <w:t>十一、认证要求的变更的处理：</w:t>
      </w:r>
    </w:p>
    <w:p w14:paraId="235C94BA">
      <w:pPr>
        <w:pStyle w:val="16"/>
        <w:keepNext w:val="0"/>
        <w:keepLines w:val="0"/>
        <w:pageBreakBefore w:val="0"/>
        <w:widowControl w:val="0"/>
        <w:kinsoku/>
        <w:wordWrap/>
        <w:overflowPunct/>
        <w:topLinePunct w:val="0"/>
        <w:autoSpaceDE w:val="0"/>
        <w:autoSpaceDN w:val="0"/>
        <w:bidi w:val="0"/>
        <w:adjustRightInd/>
        <w:snapToGrid/>
        <w:spacing w:before="11" w:line="360" w:lineRule="auto"/>
        <w:ind w:right="245" w:firstLine="436"/>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当管理体系标准（如：换版）或其他认证要求发生变更时，获证组织应按确定的变更方式，在规定的过渡</w:t>
      </w:r>
      <w:r>
        <w:rPr>
          <w:rFonts w:hint="eastAsia" w:ascii="宋体" w:hAnsi="宋体" w:eastAsia="宋体" w:cs="宋体"/>
          <w:color w:val="auto"/>
          <w:sz w:val="21"/>
          <w:szCs w:val="21"/>
          <w:highlight w:val="none"/>
        </w:rPr>
        <w:t>期间内完成必要的调整，并接受</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现场审核确认。过渡期结束后，未经</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现场审核确认的组织，其认证证书将被撤销并公告。</w:t>
      </w:r>
    </w:p>
    <w:p w14:paraId="1CE016AE">
      <w:pPr>
        <w:keepNext w:val="0"/>
        <w:keepLines w:val="0"/>
        <w:pageBreakBefore w:val="0"/>
        <w:widowControl w:val="0"/>
        <w:kinsoku/>
        <w:wordWrap/>
        <w:overflowPunct/>
        <w:topLinePunct w:val="0"/>
        <w:autoSpaceDE w:val="0"/>
        <w:autoSpaceDN w:val="0"/>
        <w:bidi w:val="0"/>
        <w:adjustRightInd/>
        <w:snapToGrid/>
        <w:spacing w:before="18" w:line="360" w:lineRule="auto"/>
        <w:ind w:left="544" w:right="0" w:firstLine="0"/>
        <w:jc w:val="left"/>
        <w:textAlignment w:val="auto"/>
        <w:rPr>
          <w:rFonts w:hint="eastAsia" w:ascii="宋体" w:hAnsi="宋体" w:eastAsia="宋体" w:cs="宋体"/>
          <w:b/>
          <w:color w:val="auto"/>
          <w:sz w:val="21"/>
          <w:szCs w:val="21"/>
          <w:highlight w:val="none"/>
        </w:rPr>
      </w:pPr>
      <w:bookmarkStart w:id="28" w:name="_bookmark12"/>
      <w:bookmarkEnd w:id="28"/>
      <w:bookmarkStart w:id="29" w:name="十二、获证组织的权利与义务"/>
      <w:bookmarkEnd w:id="29"/>
      <w:r>
        <w:rPr>
          <w:rFonts w:hint="eastAsia" w:ascii="宋体" w:hAnsi="宋体" w:eastAsia="宋体" w:cs="宋体"/>
          <w:b/>
          <w:color w:val="auto"/>
          <w:sz w:val="21"/>
          <w:szCs w:val="21"/>
          <w:highlight w:val="none"/>
        </w:rPr>
        <w:t>十二、获证组织的权利与义务</w:t>
      </w:r>
    </w:p>
    <w:p w14:paraId="3DAA6382">
      <w:pPr>
        <w:pStyle w:val="81"/>
        <w:keepNext w:val="0"/>
        <w:keepLines w:val="0"/>
        <w:pageBreakBefore w:val="0"/>
        <w:widowControl w:val="0"/>
        <w:numPr>
          <w:ilvl w:val="1"/>
          <w:numId w:val="0"/>
        </w:numPr>
        <w:tabs>
          <w:tab w:val="left" w:pos="1070"/>
        </w:tabs>
        <w:kinsoku/>
        <w:wordWrap/>
        <w:overflowPunct/>
        <w:topLinePunct w:val="0"/>
        <w:autoSpaceDE w:val="0"/>
        <w:autoSpaceDN w:val="0"/>
        <w:bidi w:val="0"/>
        <w:adjustRightInd/>
        <w:snapToGrid/>
        <w:spacing w:before="11" w:after="0" w:line="360" w:lineRule="auto"/>
        <w:ind w:left="1069" w:leftChars="0" w:right="0" w:rightChars="0" w:hanging="525"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12.1</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权利</w:t>
      </w:r>
    </w:p>
    <w:p w14:paraId="381120FD">
      <w:pPr>
        <w:pStyle w:val="81"/>
        <w:keepNext w:val="0"/>
        <w:keepLines w:val="0"/>
        <w:pageBreakBefore w:val="0"/>
        <w:widowControl w:val="0"/>
        <w:numPr>
          <w:ilvl w:val="0"/>
          <w:numId w:val="0"/>
        </w:numPr>
        <w:tabs>
          <w:tab w:val="left" w:pos="877"/>
        </w:tabs>
        <w:kinsoku/>
        <w:wordWrap/>
        <w:overflowPunct/>
        <w:topLinePunct w:val="0"/>
        <w:autoSpaceDE w:val="0"/>
        <w:autoSpaceDN w:val="0"/>
        <w:bidi w:val="0"/>
        <w:adjustRightInd/>
        <w:snapToGrid/>
        <w:spacing w:before="14" w:after="0" w:line="360" w:lineRule="auto"/>
        <w:ind w:left="876" w:leftChars="0" w:right="0" w:rightChars="0" w:hanging="33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w:t>
      </w:r>
      <w:r>
        <w:rPr>
          <w:rFonts w:hint="eastAsia" w:ascii="宋体" w:hAnsi="宋体" w:eastAsia="宋体" w:cs="宋体"/>
          <w:color w:val="auto"/>
          <w:sz w:val="21"/>
          <w:szCs w:val="21"/>
          <w:highlight w:val="none"/>
        </w:rPr>
        <w:t>认证申请（委托）人有权了解</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运作依据和认证程序；</w:t>
      </w:r>
    </w:p>
    <w:p w14:paraId="5B5F525F">
      <w:pPr>
        <w:pStyle w:val="81"/>
        <w:keepNext w:val="0"/>
        <w:keepLines w:val="0"/>
        <w:pageBreakBefore w:val="0"/>
        <w:widowControl w:val="0"/>
        <w:numPr>
          <w:ilvl w:val="0"/>
          <w:numId w:val="0"/>
        </w:numPr>
        <w:tabs>
          <w:tab w:val="left" w:pos="877"/>
        </w:tabs>
        <w:kinsoku/>
        <w:wordWrap/>
        <w:overflowPunct/>
        <w:topLinePunct w:val="0"/>
        <w:autoSpaceDE w:val="0"/>
        <w:autoSpaceDN w:val="0"/>
        <w:bidi w:val="0"/>
        <w:adjustRightInd/>
        <w:snapToGrid/>
        <w:spacing w:before="14" w:after="0" w:line="360" w:lineRule="auto"/>
        <w:ind w:left="876" w:leftChars="0" w:right="0" w:rightChars="0" w:hanging="33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2）</w:t>
      </w:r>
      <w:r>
        <w:rPr>
          <w:rFonts w:hint="eastAsia" w:ascii="宋体" w:hAnsi="宋体" w:eastAsia="宋体" w:cs="宋体"/>
          <w:color w:val="auto"/>
          <w:sz w:val="21"/>
          <w:szCs w:val="21"/>
          <w:highlight w:val="none"/>
        </w:rPr>
        <w:t>有权索取有关认证的说明和资料、文件；</w:t>
      </w:r>
    </w:p>
    <w:p w14:paraId="37B43B10">
      <w:pPr>
        <w:pStyle w:val="81"/>
        <w:keepNext w:val="0"/>
        <w:keepLines w:val="0"/>
        <w:pageBreakBefore w:val="0"/>
        <w:widowControl w:val="0"/>
        <w:numPr>
          <w:ilvl w:val="0"/>
          <w:numId w:val="0"/>
        </w:numPr>
        <w:tabs>
          <w:tab w:val="left" w:pos="877"/>
        </w:tabs>
        <w:kinsoku/>
        <w:wordWrap/>
        <w:overflowPunct/>
        <w:topLinePunct w:val="0"/>
        <w:autoSpaceDE w:val="0"/>
        <w:autoSpaceDN w:val="0"/>
        <w:bidi w:val="0"/>
        <w:adjustRightInd/>
        <w:snapToGrid/>
        <w:spacing w:before="11" w:after="0" w:line="360" w:lineRule="auto"/>
        <w:ind w:left="876" w:leftChars="0" w:right="0" w:rightChars="0" w:hanging="33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3）</w:t>
      </w:r>
      <w:r>
        <w:rPr>
          <w:rFonts w:hint="eastAsia" w:ascii="宋体" w:hAnsi="宋体" w:eastAsia="宋体" w:cs="宋体"/>
          <w:color w:val="auto"/>
          <w:sz w:val="21"/>
          <w:szCs w:val="21"/>
          <w:highlight w:val="none"/>
        </w:rPr>
        <w:t>有权对审核计划和审核成员提出异议，并得到合理解决；</w:t>
      </w:r>
    </w:p>
    <w:p w14:paraId="364E8ED9">
      <w:pPr>
        <w:pStyle w:val="81"/>
        <w:keepNext w:val="0"/>
        <w:keepLines w:val="0"/>
        <w:pageBreakBefore w:val="0"/>
        <w:widowControl w:val="0"/>
        <w:numPr>
          <w:ilvl w:val="0"/>
          <w:numId w:val="0"/>
        </w:numPr>
        <w:tabs>
          <w:tab w:val="left" w:pos="877"/>
        </w:tabs>
        <w:kinsoku/>
        <w:wordWrap/>
        <w:overflowPunct/>
        <w:topLinePunct w:val="0"/>
        <w:autoSpaceDE w:val="0"/>
        <w:autoSpaceDN w:val="0"/>
        <w:bidi w:val="0"/>
        <w:adjustRightInd/>
        <w:snapToGrid/>
        <w:spacing w:before="11" w:after="0" w:line="360" w:lineRule="auto"/>
        <w:ind w:left="876" w:leftChars="0" w:right="0" w:rightChars="0" w:hanging="33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4）</w:t>
      </w:r>
      <w:r>
        <w:rPr>
          <w:rFonts w:hint="eastAsia" w:ascii="宋体" w:hAnsi="宋体" w:eastAsia="宋体" w:cs="宋体"/>
          <w:color w:val="auto"/>
          <w:sz w:val="21"/>
          <w:szCs w:val="21"/>
          <w:highlight w:val="none"/>
        </w:rPr>
        <w:t>有权对审核组提出的不符合项进行确认；</w:t>
      </w:r>
    </w:p>
    <w:p w14:paraId="1AF9C4E8">
      <w:pPr>
        <w:pStyle w:val="81"/>
        <w:keepNext w:val="0"/>
        <w:keepLines w:val="0"/>
        <w:pageBreakBefore w:val="0"/>
        <w:widowControl w:val="0"/>
        <w:numPr>
          <w:ilvl w:val="0"/>
          <w:numId w:val="0"/>
        </w:numPr>
        <w:tabs>
          <w:tab w:val="left" w:pos="877"/>
        </w:tabs>
        <w:kinsoku/>
        <w:wordWrap/>
        <w:overflowPunct/>
        <w:topLinePunct w:val="0"/>
        <w:autoSpaceDE w:val="0"/>
        <w:autoSpaceDN w:val="0"/>
        <w:bidi w:val="0"/>
        <w:adjustRightInd/>
        <w:snapToGrid/>
        <w:spacing w:before="11" w:after="0" w:line="360" w:lineRule="auto"/>
        <w:ind w:left="876" w:leftChars="0" w:right="0" w:rightChars="0" w:hanging="33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en-US"/>
        </w:rPr>
        <w:t>5）</w:t>
      </w:r>
      <w:r>
        <w:rPr>
          <w:rFonts w:hint="eastAsia" w:ascii="宋体" w:hAnsi="宋体" w:eastAsia="宋体" w:cs="宋体"/>
          <w:color w:val="auto"/>
          <w:sz w:val="21"/>
          <w:szCs w:val="21"/>
          <w:highlight w:val="none"/>
        </w:rPr>
        <w:t>有权对审核组工作和审核结论提出质疑；</w:t>
      </w:r>
    </w:p>
    <w:p w14:paraId="4FA19226">
      <w:pPr>
        <w:pStyle w:val="81"/>
        <w:keepNext w:val="0"/>
        <w:keepLines w:val="0"/>
        <w:pageBreakBefore w:val="0"/>
        <w:widowControl w:val="0"/>
        <w:numPr>
          <w:ilvl w:val="0"/>
          <w:numId w:val="0"/>
        </w:numPr>
        <w:tabs>
          <w:tab w:val="left" w:pos="878"/>
        </w:tabs>
        <w:kinsoku/>
        <w:wordWrap/>
        <w:overflowPunct/>
        <w:topLinePunct w:val="0"/>
        <w:autoSpaceDE w:val="0"/>
        <w:autoSpaceDN w:val="0"/>
        <w:bidi w:val="0"/>
        <w:adjustRightInd/>
        <w:snapToGrid/>
        <w:spacing w:before="12" w:after="0" w:line="360" w:lineRule="auto"/>
        <w:ind w:left="877" w:leftChars="0" w:right="0" w:rightChars="0" w:hanging="33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6）</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批准的正式报告与审核组的审核报告有差异时，有权要求</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作出解释；</w:t>
      </w:r>
    </w:p>
    <w:p w14:paraId="7D3C2782">
      <w:pPr>
        <w:pStyle w:val="81"/>
        <w:keepNext w:val="0"/>
        <w:keepLines w:val="0"/>
        <w:pageBreakBefore w:val="0"/>
        <w:widowControl w:val="0"/>
        <w:numPr>
          <w:ilvl w:val="0"/>
          <w:numId w:val="0"/>
        </w:numPr>
        <w:tabs>
          <w:tab w:val="left" w:pos="878"/>
        </w:tabs>
        <w:kinsoku/>
        <w:wordWrap/>
        <w:overflowPunct/>
        <w:topLinePunct w:val="0"/>
        <w:autoSpaceDE w:val="0"/>
        <w:autoSpaceDN w:val="0"/>
        <w:bidi w:val="0"/>
        <w:adjustRightInd/>
        <w:snapToGrid/>
        <w:spacing w:before="13" w:after="0" w:line="360" w:lineRule="auto"/>
        <w:ind w:left="877" w:leftChars="0" w:right="0" w:rightChars="0" w:hanging="333"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7）</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将审核／监督检查分包给外部机构或人员时，有权提出意见；</w:t>
      </w:r>
    </w:p>
    <w:p w14:paraId="50E2C8AB">
      <w:pPr>
        <w:pStyle w:val="81"/>
        <w:keepNext w:val="0"/>
        <w:keepLines w:val="0"/>
        <w:pageBreakBefore w:val="0"/>
        <w:widowControl w:val="0"/>
        <w:numPr>
          <w:ilvl w:val="0"/>
          <w:numId w:val="0"/>
        </w:numPr>
        <w:tabs>
          <w:tab w:val="left" w:pos="877"/>
        </w:tabs>
        <w:kinsoku/>
        <w:wordWrap/>
        <w:overflowPunct/>
        <w:topLinePunct w:val="0"/>
        <w:autoSpaceDE w:val="0"/>
        <w:autoSpaceDN w:val="0"/>
        <w:bidi w:val="0"/>
        <w:adjustRightInd/>
        <w:snapToGrid/>
        <w:spacing w:before="14" w:after="0" w:line="360" w:lineRule="auto"/>
        <w:ind w:left="876" w:leftChars="0" w:right="0" w:rightChars="0" w:hanging="33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8）</w:t>
      </w:r>
      <w:r>
        <w:rPr>
          <w:rFonts w:hint="eastAsia" w:ascii="宋体" w:hAnsi="宋体" w:eastAsia="宋体" w:cs="宋体"/>
          <w:color w:val="auto"/>
          <w:sz w:val="21"/>
          <w:szCs w:val="21"/>
          <w:highlight w:val="none"/>
        </w:rPr>
        <w:t>有权正确使用认证证书和标志；</w:t>
      </w:r>
    </w:p>
    <w:p w14:paraId="6989D7D2">
      <w:pPr>
        <w:pStyle w:val="81"/>
        <w:keepNext w:val="0"/>
        <w:keepLines w:val="0"/>
        <w:pageBreakBefore w:val="0"/>
        <w:widowControl w:val="0"/>
        <w:numPr>
          <w:ilvl w:val="0"/>
          <w:numId w:val="0"/>
        </w:numPr>
        <w:tabs>
          <w:tab w:val="left" w:pos="877"/>
        </w:tabs>
        <w:kinsoku/>
        <w:wordWrap/>
        <w:overflowPunct/>
        <w:topLinePunct w:val="0"/>
        <w:autoSpaceDE w:val="0"/>
        <w:autoSpaceDN w:val="0"/>
        <w:bidi w:val="0"/>
        <w:adjustRightInd/>
        <w:snapToGrid/>
        <w:spacing w:before="14" w:after="0" w:line="360" w:lineRule="auto"/>
        <w:ind w:left="876" w:leftChars="0" w:right="0" w:rightChars="0" w:hanging="33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9）</w:t>
      </w:r>
      <w:r>
        <w:rPr>
          <w:rFonts w:hint="eastAsia" w:ascii="宋体" w:hAnsi="宋体" w:eastAsia="宋体" w:cs="宋体"/>
          <w:color w:val="auto"/>
          <w:sz w:val="21"/>
          <w:szCs w:val="21"/>
          <w:highlight w:val="none"/>
        </w:rPr>
        <w:t>有权要求</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保密和遵守有关的规定；</w:t>
      </w:r>
    </w:p>
    <w:p w14:paraId="1465342E">
      <w:pPr>
        <w:pStyle w:val="81"/>
        <w:keepNext w:val="0"/>
        <w:keepLines w:val="0"/>
        <w:pageBreakBefore w:val="0"/>
        <w:widowControl w:val="0"/>
        <w:numPr>
          <w:ilvl w:val="0"/>
          <w:numId w:val="0"/>
        </w:numPr>
        <w:tabs>
          <w:tab w:val="left" w:pos="877"/>
        </w:tabs>
        <w:kinsoku/>
        <w:wordWrap/>
        <w:overflowPunct/>
        <w:topLinePunct w:val="0"/>
        <w:autoSpaceDE w:val="0"/>
        <w:autoSpaceDN w:val="0"/>
        <w:bidi w:val="0"/>
        <w:adjustRightInd/>
        <w:snapToGrid/>
        <w:spacing w:before="14" w:after="0" w:line="360" w:lineRule="auto"/>
        <w:ind w:left="876" w:leftChars="0" w:right="0" w:rightChars="0" w:hanging="33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en-US"/>
        </w:rPr>
        <w:t>10）</w:t>
      </w:r>
      <w:r>
        <w:rPr>
          <w:rFonts w:hint="eastAsia" w:ascii="宋体" w:hAnsi="宋体" w:eastAsia="宋体" w:cs="宋体"/>
          <w:color w:val="auto"/>
          <w:sz w:val="21"/>
          <w:szCs w:val="21"/>
          <w:highlight w:val="none"/>
        </w:rPr>
        <w:t>有权对</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提出申诉／投诉和争议；</w:t>
      </w:r>
    </w:p>
    <w:p w14:paraId="5CD09B3A">
      <w:pPr>
        <w:pStyle w:val="81"/>
        <w:keepNext w:val="0"/>
        <w:keepLines w:val="0"/>
        <w:pageBreakBefore w:val="0"/>
        <w:widowControl w:val="0"/>
        <w:numPr>
          <w:ilvl w:val="0"/>
          <w:numId w:val="0"/>
        </w:numPr>
        <w:tabs>
          <w:tab w:val="left" w:pos="999"/>
        </w:tabs>
        <w:kinsoku/>
        <w:wordWrap/>
        <w:overflowPunct/>
        <w:topLinePunct w:val="0"/>
        <w:autoSpaceDE w:val="0"/>
        <w:autoSpaceDN w:val="0"/>
        <w:bidi w:val="0"/>
        <w:adjustRightInd/>
        <w:snapToGrid/>
        <w:spacing w:before="14" w:after="0" w:line="360" w:lineRule="auto"/>
        <w:ind w:left="998" w:leftChars="0" w:right="0" w:rightChars="0" w:hanging="454"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11）</w:t>
      </w:r>
      <w:r>
        <w:rPr>
          <w:rFonts w:hint="eastAsia" w:ascii="宋体" w:hAnsi="宋体" w:eastAsia="宋体" w:cs="宋体"/>
          <w:color w:val="auto"/>
          <w:sz w:val="21"/>
          <w:szCs w:val="21"/>
          <w:highlight w:val="none"/>
        </w:rPr>
        <w:t>有权要求</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对其它有关认证问题作出解释或澄清；</w:t>
      </w:r>
    </w:p>
    <w:p w14:paraId="171E4AAC">
      <w:pPr>
        <w:pStyle w:val="81"/>
        <w:keepNext w:val="0"/>
        <w:keepLines w:val="0"/>
        <w:pageBreakBefore w:val="0"/>
        <w:widowControl w:val="0"/>
        <w:numPr>
          <w:ilvl w:val="0"/>
          <w:numId w:val="0"/>
        </w:numPr>
        <w:tabs>
          <w:tab w:val="left" w:pos="999"/>
        </w:tabs>
        <w:kinsoku/>
        <w:wordWrap/>
        <w:overflowPunct/>
        <w:topLinePunct w:val="0"/>
        <w:autoSpaceDE w:val="0"/>
        <w:autoSpaceDN w:val="0"/>
        <w:bidi w:val="0"/>
        <w:adjustRightInd/>
        <w:snapToGrid/>
        <w:spacing w:before="11" w:after="0" w:line="360" w:lineRule="auto"/>
        <w:ind w:left="998" w:leftChars="0" w:right="0" w:rightChars="0" w:hanging="454"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12）</w:t>
      </w:r>
      <w:r>
        <w:rPr>
          <w:rFonts w:hint="eastAsia" w:ascii="宋体" w:hAnsi="宋体" w:eastAsia="宋体" w:cs="宋体"/>
          <w:color w:val="auto"/>
          <w:sz w:val="21"/>
          <w:szCs w:val="21"/>
          <w:highlight w:val="none"/>
        </w:rPr>
        <w:t>有权向国务院认证认可监督管理部门和地方认证监督管理部门举报认证活动中的违法违规行为。</w:t>
      </w:r>
    </w:p>
    <w:p w14:paraId="2D5AB597">
      <w:pPr>
        <w:pStyle w:val="81"/>
        <w:keepNext w:val="0"/>
        <w:keepLines w:val="0"/>
        <w:pageBreakBefore w:val="0"/>
        <w:widowControl w:val="0"/>
        <w:numPr>
          <w:ilvl w:val="1"/>
          <w:numId w:val="0"/>
        </w:numPr>
        <w:tabs>
          <w:tab w:val="left" w:pos="1017"/>
        </w:tabs>
        <w:kinsoku/>
        <w:wordWrap/>
        <w:overflowPunct/>
        <w:topLinePunct w:val="0"/>
        <w:autoSpaceDE w:val="0"/>
        <w:autoSpaceDN w:val="0"/>
        <w:bidi w:val="0"/>
        <w:adjustRightInd/>
        <w:snapToGrid/>
        <w:spacing w:before="14" w:after="0" w:line="360" w:lineRule="auto"/>
        <w:ind w:left="1016" w:leftChars="0" w:right="0" w:rightChars="0" w:hanging="47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12.2</w:t>
      </w:r>
      <w:r>
        <w:rPr>
          <w:rFonts w:hint="eastAsia" w:ascii="宋体" w:hAnsi="宋体" w:eastAsia="宋体" w:cs="宋体"/>
          <w:color w:val="auto"/>
          <w:spacing w:val="-1"/>
          <w:w w:val="99"/>
          <w:sz w:val="21"/>
          <w:szCs w:val="21"/>
          <w:highlight w:val="none"/>
          <w:lang w:val="en-US" w:eastAsia="zh-CN" w:bidi="ar-SA"/>
        </w:rPr>
        <w:t xml:space="preserve"> </w:t>
      </w:r>
      <w:r>
        <w:rPr>
          <w:rFonts w:hint="eastAsia" w:ascii="宋体" w:hAnsi="宋体" w:eastAsia="宋体" w:cs="宋体"/>
          <w:color w:val="auto"/>
          <w:sz w:val="21"/>
          <w:szCs w:val="21"/>
          <w:highlight w:val="none"/>
        </w:rPr>
        <w:t>义务</w:t>
      </w:r>
    </w:p>
    <w:p w14:paraId="2C0466D6">
      <w:pPr>
        <w:pStyle w:val="81"/>
        <w:keepNext w:val="0"/>
        <w:keepLines w:val="0"/>
        <w:pageBreakBefore w:val="0"/>
        <w:widowControl w:val="0"/>
        <w:numPr>
          <w:ilvl w:val="0"/>
          <w:numId w:val="0"/>
        </w:numPr>
        <w:tabs>
          <w:tab w:val="left" w:pos="877"/>
        </w:tabs>
        <w:kinsoku/>
        <w:wordWrap/>
        <w:overflowPunct/>
        <w:topLinePunct w:val="0"/>
        <w:autoSpaceDE w:val="0"/>
        <w:autoSpaceDN w:val="0"/>
        <w:bidi w:val="0"/>
        <w:adjustRightInd/>
        <w:snapToGrid/>
        <w:spacing w:before="14" w:after="0" w:line="360" w:lineRule="auto"/>
        <w:ind w:left="876" w:leftChars="0" w:right="0" w:rightChars="0" w:hanging="33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w:t>
      </w:r>
      <w:r>
        <w:rPr>
          <w:rFonts w:hint="eastAsia" w:ascii="宋体" w:hAnsi="宋体" w:eastAsia="宋体" w:cs="宋体"/>
          <w:color w:val="auto"/>
          <w:sz w:val="21"/>
          <w:szCs w:val="21"/>
          <w:highlight w:val="none"/>
        </w:rPr>
        <w:t>始终遵守国家认监委、认可机构和</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有关认证认可的有关规定；</w:t>
      </w:r>
    </w:p>
    <w:p w14:paraId="6DCD6FC4">
      <w:pPr>
        <w:pStyle w:val="81"/>
        <w:keepNext w:val="0"/>
        <w:keepLines w:val="0"/>
        <w:pageBreakBefore w:val="0"/>
        <w:widowControl w:val="0"/>
        <w:numPr>
          <w:ilvl w:val="0"/>
          <w:numId w:val="0"/>
        </w:numPr>
        <w:tabs>
          <w:tab w:val="left" w:pos="877"/>
        </w:tabs>
        <w:kinsoku/>
        <w:wordWrap/>
        <w:overflowPunct/>
        <w:topLinePunct w:val="0"/>
        <w:autoSpaceDE w:val="0"/>
        <w:autoSpaceDN w:val="0"/>
        <w:bidi w:val="0"/>
        <w:adjustRightInd/>
        <w:snapToGrid/>
        <w:spacing w:before="11" w:after="0" w:line="360" w:lineRule="auto"/>
        <w:ind w:left="876" w:leftChars="0" w:right="0" w:rightChars="0" w:hanging="33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2）</w:t>
      </w:r>
      <w:r>
        <w:rPr>
          <w:rFonts w:hint="eastAsia" w:ascii="宋体" w:hAnsi="宋体" w:eastAsia="宋体" w:cs="宋体"/>
          <w:color w:val="auto"/>
          <w:sz w:val="21"/>
          <w:szCs w:val="21"/>
          <w:highlight w:val="none"/>
        </w:rPr>
        <w:t>按期交纳费用（认证不通过时也应交纳费用）；</w:t>
      </w:r>
    </w:p>
    <w:p w14:paraId="78418A11">
      <w:pPr>
        <w:pStyle w:val="81"/>
        <w:keepNext w:val="0"/>
        <w:keepLines w:val="0"/>
        <w:pageBreakBefore w:val="0"/>
        <w:widowControl w:val="0"/>
        <w:numPr>
          <w:ilvl w:val="0"/>
          <w:numId w:val="0"/>
        </w:numPr>
        <w:tabs>
          <w:tab w:val="left" w:pos="880"/>
        </w:tabs>
        <w:kinsoku/>
        <w:wordWrap/>
        <w:overflowPunct/>
        <w:topLinePunct w:val="0"/>
        <w:autoSpaceDE w:val="0"/>
        <w:autoSpaceDN w:val="0"/>
        <w:bidi w:val="0"/>
        <w:adjustRightInd/>
        <w:snapToGrid/>
        <w:spacing w:before="14" w:after="0" w:line="360" w:lineRule="auto"/>
        <w:ind w:left="107" w:leftChars="0" w:right="245"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3）</w:t>
      </w:r>
      <w:r>
        <w:rPr>
          <w:rFonts w:hint="eastAsia" w:ascii="宋体" w:hAnsi="宋体" w:eastAsia="宋体" w:cs="宋体"/>
          <w:color w:val="auto"/>
          <w:sz w:val="21"/>
          <w:szCs w:val="21"/>
          <w:highlight w:val="none"/>
        </w:rPr>
        <w:t>为进行审核，监督审核，再认证和解决投诉做出必要的安排；包括接受</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的文件审查，调阅所有记录（包括内审报告、利益相关者投诉），初访，进入所有区域的确定和接待访问／审核人员；</w:t>
      </w:r>
    </w:p>
    <w:p w14:paraId="25BC8F3B">
      <w:pPr>
        <w:pStyle w:val="81"/>
        <w:keepNext w:val="0"/>
        <w:keepLines w:val="0"/>
        <w:pageBreakBefore w:val="0"/>
        <w:widowControl w:val="0"/>
        <w:numPr>
          <w:ilvl w:val="0"/>
          <w:numId w:val="0"/>
        </w:numPr>
        <w:tabs>
          <w:tab w:val="left" w:pos="880"/>
        </w:tabs>
        <w:kinsoku/>
        <w:wordWrap/>
        <w:overflowPunct/>
        <w:topLinePunct w:val="0"/>
        <w:autoSpaceDE w:val="0"/>
        <w:autoSpaceDN w:val="0"/>
        <w:bidi w:val="0"/>
        <w:adjustRightInd/>
        <w:snapToGrid/>
        <w:spacing w:before="14" w:after="0" w:line="360" w:lineRule="auto"/>
        <w:ind w:left="107" w:leftChars="0" w:right="245"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en-US"/>
        </w:rPr>
        <w:t>4）</w:t>
      </w:r>
      <w:r>
        <w:rPr>
          <w:rFonts w:hint="eastAsia" w:ascii="宋体" w:hAnsi="宋体" w:eastAsia="宋体" w:cs="宋体"/>
          <w:color w:val="auto"/>
          <w:sz w:val="21"/>
          <w:szCs w:val="21"/>
          <w:highlight w:val="none"/>
        </w:rPr>
        <w:t>积极配合审核，如实提供情况、说明、资料、文件、记录；</w:t>
      </w:r>
    </w:p>
    <w:p w14:paraId="292C69B9">
      <w:pPr>
        <w:pStyle w:val="81"/>
        <w:keepNext w:val="0"/>
        <w:keepLines w:val="0"/>
        <w:pageBreakBefore w:val="0"/>
        <w:widowControl w:val="0"/>
        <w:numPr>
          <w:ilvl w:val="0"/>
          <w:numId w:val="0"/>
        </w:numPr>
        <w:tabs>
          <w:tab w:val="left" w:pos="880"/>
        </w:tabs>
        <w:kinsoku/>
        <w:wordWrap/>
        <w:overflowPunct/>
        <w:topLinePunct w:val="0"/>
        <w:autoSpaceDE w:val="0"/>
        <w:autoSpaceDN w:val="0"/>
        <w:bidi w:val="0"/>
        <w:adjustRightInd/>
        <w:snapToGrid/>
        <w:spacing w:before="14" w:after="0" w:line="360" w:lineRule="auto"/>
        <w:ind w:left="107" w:leftChars="0" w:right="245" w:rightChars="0" w:firstLine="437"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en-US"/>
        </w:rPr>
        <w:t>5）</w:t>
      </w:r>
      <w:r>
        <w:rPr>
          <w:rFonts w:hint="eastAsia" w:ascii="宋体" w:hAnsi="宋体" w:eastAsia="宋体" w:cs="宋体"/>
          <w:color w:val="auto"/>
          <w:sz w:val="21"/>
          <w:szCs w:val="21"/>
          <w:highlight w:val="none"/>
        </w:rPr>
        <w:t>正确使用认证证书和标志，仅就获准认证的范围作出声明；</w:t>
      </w:r>
    </w:p>
    <w:p w14:paraId="4E6D53A6">
      <w:pPr>
        <w:pStyle w:val="81"/>
        <w:keepNext w:val="0"/>
        <w:keepLines w:val="0"/>
        <w:pageBreakBefore w:val="0"/>
        <w:widowControl w:val="0"/>
        <w:numPr>
          <w:ilvl w:val="0"/>
          <w:numId w:val="0"/>
        </w:numPr>
        <w:tabs>
          <w:tab w:val="left" w:pos="877"/>
        </w:tabs>
        <w:kinsoku/>
        <w:wordWrap/>
        <w:overflowPunct/>
        <w:topLinePunct w:val="0"/>
        <w:autoSpaceDE w:val="0"/>
        <w:autoSpaceDN w:val="0"/>
        <w:bidi w:val="0"/>
        <w:adjustRightInd/>
        <w:snapToGrid/>
        <w:spacing w:before="14" w:after="0" w:line="360" w:lineRule="auto"/>
        <w:ind w:left="876" w:leftChars="0" w:right="0" w:rightChars="0" w:hanging="33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6）</w:t>
      </w:r>
      <w:r>
        <w:rPr>
          <w:rFonts w:hint="eastAsia" w:ascii="宋体" w:hAnsi="宋体" w:eastAsia="宋体" w:cs="宋体"/>
          <w:color w:val="auto"/>
          <w:sz w:val="21"/>
          <w:szCs w:val="21"/>
          <w:highlight w:val="none"/>
        </w:rPr>
        <w:t>在宣传认证结果时不得损害</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的声誉，不得做使</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认为误导或未授权的声明；</w:t>
      </w:r>
    </w:p>
    <w:p w14:paraId="6583905D">
      <w:pPr>
        <w:pStyle w:val="81"/>
        <w:keepNext w:val="0"/>
        <w:keepLines w:val="0"/>
        <w:pageBreakBefore w:val="0"/>
        <w:widowControl w:val="0"/>
        <w:numPr>
          <w:ilvl w:val="0"/>
          <w:numId w:val="0"/>
        </w:numPr>
        <w:tabs>
          <w:tab w:val="left" w:pos="877"/>
        </w:tabs>
        <w:kinsoku/>
        <w:wordWrap/>
        <w:overflowPunct/>
        <w:topLinePunct w:val="0"/>
        <w:autoSpaceDE w:val="0"/>
        <w:autoSpaceDN w:val="0"/>
        <w:bidi w:val="0"/>
        <w:adjustRightInd/>
        <w:snapToGrid/>
        <w:spacing w:before="11" w:after="0" w:line="360" w:lineRule="auto"/>
        <w:ind w:left="876" w:leftChars="0" w:right="0" w:rightChars="0" w:hanging="33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7）</w:t>
      </w:r>
      <w:r>
        <w:rPr>
          <w:rFonts w:hint="eastAsia" w:ascii="宋体" w:hAnsi="宋体" w:eastAsia="宋体" w:cs="宋体"/>
          <w:color w:val="auto"/>
          <w:sz w:val="21"/>
          <w:szCs w:val="21"/>
          <w:highlight w:val="none"/>
        </w:rPr>
        <w:t>当认证暂停或撤销时，应立即停止涉及认证内容的宣传，并按</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要求交回所有认证文件；</w:t>
      </w:r>
    </w:p>
    <w:p w14:paraId="7F4FD9AB">
      <w:pPr>
        <w:pStyle w:val="16"/>
        <w:keepNext w:val="0"/>
        <w:keepLines w:val="0"/>
        <w:pageBreakBefore w:val="0"/>
        <w:widowControl w:val="0"/>
        <w:kinsoku/>
        <w:wordWrap/>
        <w:overflowPunct/>
        <w:topLinePunct w:val="0"/>
        <w:autoSpaceDE w:val="0"/>
        <w:autoSpaceDN w:val="0"/>
        <w:bidi w:val="0"/>
        <w:adjustRightInd/>
        <w:snapToGrid/>
        <w:spacing w:before="14" w:line="360" w:lineRule="auto"/>
        <w:ind w:left="544" w:firstLine="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 证书撤销或未能通过再认证审核，必须销毁印有相关认证认可标识的宣传物品。</w:t>
      </w:r>
    </w:p>
    <w:p w14:paraId="550EE85B">
      <w:pPr>
        <w:pStyle w:val="81"/>
        <w:keepNext w:val="0"/>
        <w:keepLines w:val="0"/>
        <w:pageBreakBefore w:val="0"/>
        <w:widowControl w:val="0"/>
        <w:numPr>
          <w:ilvl w:val="0"/>
          <w:numId w:val="0"/>
        </w:numPr>
        <w:tabs>
          <w:tab w:val="left" w:pos="877"/>
        </w:tabs>
        <w:kinsoku/>
        <w:wordWrap/>
        <w:overflowPunct/>
        <w:topLinePunct w:val="0"/>
        <w:autoSpaceDE w:val="0"/>
        <w:autoSpaceDN w:val="0"/>
        <w:bidi w:val="0"/>
        <w:adjustRightInd/>
        <w:snapToGrid/>
        <w:spacing w:before="14" w:after="0" w:line="360" w:lineRule="auto"/>
        <w:ind w:left="876" w:leftChars="0" w:right="0" w:rightChars="0" w:hanging="332"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9）</w:t>
      </w:r>
      <w:r>
        <w:rPr>
          <w:rFonts w:hint="eastAsia" w:ascii="宋体" w:hAnsi="宋体" w:eastAsia="宋体" w:cs="宋体"/>
          <w:color w:val="auto"/>
          <w:sz w:val="21"/>
          <w:szCs w:val="21"/>
          <w:highlight w:val="none"/>
        </w:rPr>
        <w:t>获注册后在有效期内应按前述要求及时向</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通报信息；</w:t>
      </w:r>
    </w:p>
    <w:p w14:paraId="651EC7A9">
      <w:pPr>
        <w:pStyle w:val="81"/>
        <w:keepNext w:val="0"/>
        <w:keepLines w:val="0"/>
        <w:pageBreakBefore w:val="0"/>
        <w:widowControl w:val="0"/>
        <w:numPr>
          <w:ilvl w:val="0"/>
          <w:numId w:val="0"/>
        </w:numPr>
        <w:tabs>
          <w:tab w:val="left" w:pos="999"/>
        </w:tabs>
        <w:kinsoku/>
        <w:wordWrap/>
        <w:overflowPunct/>
        <w:topLinePunct w:val="0"/>
        <w:autoSpaceDE w:val="0"/>
        <w:autoSpaceDN w:val="0"/>
        <w:bidi w:val="0"/>
        <w:adjustRightInd/>
        <w:snapToGrid/>
        <w:spacing w:before="11" w:after="0" w:line="360" w:lineRule="auto"/>
        <w:ind w:left="998" w:leftChars="0" w:right="0" w:rightChars="0" w:hanging="454"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10）</w:t>
      </w:r>
      <w:r>
        <w:rPr>
          <w:rFonts w:hint="eastAsia" w:ascii="宋体" w:hAnsi="宋体" w:eastAsia="宋体" w:cs="宋体"/>
          <w:color w:val="auto"/>
          <w:sz w:val="21"/>
          <w:szCs w:val="21"/>
          <w:highlight w:val="none"/>
        </w:rPr>
        <w:t>按更改的管理体系标准等认证要求，在给定的时间内进行更改，并接受</w:t>
      </w:r>
      <w:r>
        <w:rPr>
          <w:rFonts w:hint="eastAsia" w:ascii="宋体" w:hAnsi="宋体" w:eastAsia="宋体" w:cs="宋体"/>
          <w:color w:val="auto"/>
          <w:sz w:val="21"/>
          <w:szCs w:val="21"/>
          <w:highlight w:val="none"/>
          <w:lang w:eastAsia="zh-CN"/>
        </w:rPr>
        <w:t>春晖国际认证</w:t>
      </w:r>
      <w:r>
        <w:rPr>
          <w:rFonts w:hint="eastAsia" w:ascii="宋体" w:hAnsi="宋体" w:eastAsia="宋体" w:cs="宋体"/>
          <w:color w:val="auto"/>
          <w:sz w:val="21"/>
          <w:szCs w:val="21"/>
          <w:highlight w:val="none"/>
        </w:rPr>
        <w:t>的验证；</w:t>
      </w:r>
    </w:p>
    <w:p w14:paraId="46A549A1">
      <w:pPr>
        <w:pStyle w:val="81"/>
        <w:keepNext w:val="0"/>
        <w:keepLines w:val="0"/>
        <w:pageBreakBefore w:val="0"/>
        <w:widowControl w:val="0"/>
        <w:numPr>
          <w:ilvl w:val="0"/>
          <w:numId w:val="0"/>
        </w:numPr>
        <w:tabs>
          <w:tab w:val="left" w:pos="999"/>
        </w:tabs>
        <w:kinsoku/>
        <w:wordWrap/>
        <w:overflowPunct/>
        <w:topLinePunct w:val="0"/>
        <w:autoSpaceDE w:val="0"/>
        <w:autoSpaceDN w:val="0"/>
        <w:bidi w:val="0"/>
        <w:adjustRightInd/>
        <w:snapToGrid/>
        <w:spacing w:before="14" w:after="0" w:line="360" w:lineRule="auto"/>
        <w:ind w:left="998" w:leftChars="0" w:right="0" w:rightChars="0" w:hanging="454"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11）</w:t>
      </w:r>
      <w:r>
        <w:rPr>
          <w:rFonts w:hint="eastAsia" w:ascii="宋体" w:hAnsi="宋体" w:eastAsia="宋体" w:cs="宋体"/>
          <w:color w:val="auto"/>
          <w:sz w:val="21"/>
          <w:szCs w:val="21"/>
          <w:highlight w:val="none"/>
        </w:rPr>
        <w:t>保持管理体系的有效运行；</w:t>
      </w:r>
    </w:p>
    <w:p w14:paraId="6176AADA">
      <w:pPr>
        <w:pStyle w:val="81"/>
        <w:keepNext w:val="0"/>
        <w:keepLines w:val="0"/>
        <w:pageBreakBefore w:val="0"/>
        <w:widowControl w:val="0"/>
        <w:numPr>
          <w:ilvl w:val="0"/>
          <w:numId w:val="0"/>
        </w:numPr>
        <w:tabs>
          <w:tab w:val="left" w:pos="999"/>
        </w:tabs>
        <w:kinsoku/>
        <w:wordWrap/>
        <w:overflowPunct/>
        <w:topLinePunct w:val="0"/>
        <w:autoSpaceDE w:val="0"/>
        <w:autoSpaceDN w:val="0"/>
        <w:bidi w:val="0"/>
        <w:adjustRightInd/>
        <w:snapToGrid/>
        <w:spacing w:before="14" w:after="0" w:line="360" w:lineRule="auto"/>
        <w:ind w:left="998" w:leftChars="0" w:right="0" w:rightChars="0" w:hanging="454"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12）</w:t>
      </w:r>
      <w:r>
        <w:rPr>
          <w:rFonts w:hint="eastAsia" w:ascii="宋体" w:hAnsi="宋体" w:eastAsia="宋体" w:cs="宋体"/>
          <w:color w:val="auto"/>
          <w:sz w:val="21"/>
          <w:szCs w:val="21"/>
          <w:highlight w:val="none"/>
        </w:rPr>
        <w:t>如期交回全部（过期、撤销）作废认证证书；</w:t>
      </w:r>
    </w:p>
    <w:p w14:paraId="3548E442">
      <w:pPr>
        <w:pStyle w:val="81"/>
        <w:keepNext w:val="0"/>
        <w:keepLines w:val="0"/>
        <w:pageBreakBefore w:val="0"/>
        <w:widowControl w:val="0"/>
        <w:numPr>
          <w:ilvl w:val="0"/>
          <w:numId w:val="0"/>
        </w:numPr>
        <w:tabs>
          <w:tab w:val="left" w:pos="999"/>
        </w:tabs>
        <w:kinsoku/>
        <w:wordWrap/>
        <w:overflowPunct/>
        <w:topLinePunct w:val="0"/>
        <w:autoSpaceDE w:val="0"/>
        <w:autoSpaceDN w:val="0"/>
        <w:bidi w:val="0"/>
        <w:adjustRightInd/>
        <w:snapToGrid/>
        <w:spacing w:before="11" w:after="0" w:line="360" w:lineRule="auto"/>
        <w:ind w:left="998" w:leftChars="0" w:right="0" w:rightChars="0" w:hanging="454"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lang w:val="en-US" w:eastAsia="en-US" w:bidi="ar-SA"/>
        </w:rPr>
        <w:t>13）</w:t>
      </w:r>
      <w:r>
        <w:rPr>
          <w:rFonts w:hint="eastAsia" w:ascii="宋体" w:hAnsi="宋体" w:eastAsia="宋体" w:cs="宋体"/>
          <w:color w:val="auto"/>
          <w:sz w:val="21"/>
          <w:szCs w:val="21"/>
          <w:highlight w:val="none"/>
        </w:rPr>
        <w:t>其他包括但不限于本文及合同约定的有关义务。</w:t>
      </w:r>
    </w:p>
    <w:p w14:paraId="15ABDFDE">
      <w:pPr>
        <w:keepNext w:val="0"/>
        <w:keepLines w:val="0"/>
        <w:pageBreakBefore w:val="0"/>
        <w:widowControl w:val="0"/>
        <w:kinsoku/>
        <w:wordWrap/>
        <w:overflowPunct/>
        <w:topLinePunct w:val="0"/>
        <w:autoSpaceDE w:val="0"/>
        <w:autoSpaceDN w:val="0"/>
        <w:bidi w:val="0"/>
        <w:adjustRightInd/>
        <w:snapToGrid/>
        <w:spacing w:before="0" w:line="360" w:lineRule="auto"/>
        <w:ind w:left="544" w:right="0" w:firstLine="0"/>
        <w:jc w:val="left"/>
        <w:textAlignment w:val="auto"/>
        <w:rPr>
          <w:rFonts w:hint="eastAsia" w:asciiTheme="majorEastAsia" w:hAnsiTheme="majorEastAsia" w:eastAsiaTheme="majorEastAsia" w:cstheme="majorEastAsia"/>
          <w:b/>
          <w:color w:val="auto"/>
          <w:sz w:val="21"/>
          <w:highlight w:val="none"/>
        </w:rPr>
      </w:pPr>
      <w:bookmarkStart w:id="30" w:name="十三、其他信息："/>
      <w:bookmarkEnd w:id="30"/>
      <w:bookmarkStart w:id="31" w:name="_bookmark13"/>
      <w:bookmarkEnd w:id="31"/>
      <w:r>
        <w:rPr>
          <w:rFonts w:hint="eastAsia" w:asciiTheme="majorEastAsia" w:hAnsiTheme="majorEastAsia" w:eastAsiaTheme="majorEastAsia" w:cstheme="majorEastAsia"/>
          <w:b/>
          <w:color w:val="auto"/>
          <w:sz w:val="21"/>
          <w:highlight w:val="none"/>
        </w:rPr>
        <w:t>十三、其他信息：</w:t>
      </w:r>
    </w:p>
    <w:p w14:paraId="19015597">
      <w:pPr>
        <w:keepNext w:val="0"/>
        <w:keepLines w:val="0"/>
        <w:pageBreakBefore w:val="0"/>
        <w:widowControl/>
        <w:kinsoku/>
        <w:wordWrap/>
        <w:overflowPunct/>
        <w:topLinePunct w:val="0"/>
        <w:autoSpaceDE/>
        <w:autoSpaceDN/>
        <w:bidi w:val="0"/>
        <w:adjustRightInd/>
        <w:snapToGrid/>
        <w:spacing w:before="0" w:after="0" w:line="360" w:lineRule="auto"/>
        <w:ind w:left="0" w:right="0"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1、本</w:t>
      </w:r>
      <w:r>
        <w:rPr>
          <w:rFonts w:hint="eastAsia" w:ascii="宋体" w:hAnsi="宋体" w:eastAsia="宋体" w:cs="宋体"/>
          <w:color w:val="auto"/>
          <w:spacing w:val="-3"/>
          <w:sz w:val="21"/>
          <w:szCs w:val="21"/>
          <w:highlight w:val="none"/>
        </w:rPr>
        <w:t>公司</w:t>
      </w:r>
      <w:r>
        <w:rPr>
          <w:rFonts w:hint="eastAsia" w:ascii="宋体" w:hAnsi="宋体" w:eastAsia="宋体" w:cs="宋体"/>
          <w:color w:val="auto"/>
          <w:spacing w:val="0"/>
          <w:sz w:val="21"/>
          <w:szCs w:val="21"/>
          <w:highlight w:val="none"/>
        </w:rPr>
        <w:t>获取认证机构资质许可、认可情况，可致电我公司</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z w:val="21"/>
          <w:szCs w:val="21"/>
          <w:highlight w:val="none"/>
        </w:rPr>
        <w:t>0371-63061778</w:t>
      </w:r>
      <w:r>
        <w:rPr>
          <w:rFonts w:hint="eastAsia" w:ascii="宋体" w:hAnsi="宋体" w:eastAsia="宋体" w:cs="宋体"/>
          <w:color w:val="auto"/>
          <w:spacing w:val="0"/>
          <w:sz w:val="21"/>
          <w:szCs w:val="21"/>
          <w:highlight w:val="none"/>
        </w:rPr>
        <w:t>获取详细信息；</w:t>
      </w:r>
      <w:r>
        <w:rPr>
          <w:rFonts w:hint="eastAsia" w:ascii="宋体" w:hAnsi="宋体" w:eastAsia="宋体" w:cs="宋体"/>
          <w:color w:val="auto"/>
          <w:spacing w:val="2"/>
          <w:sz w:val="21"/>
          <w:szCs w:val="21"/>
          <w:highlight w:val="none"/>
        </w:rPr>
        <w:t>亦可查询我公司网站</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"http://www.cqc.com.cn"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lang w:eastAsia="zh-CN"/>
        </w:rPr>
        <w:t>www.chunhuiguoji.com</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pacing w:val="1"/>
          <w:sz w:val="21"/>
          <w:szCs w:val="21"/>
          <w:highlight w:val="none"/>
        </w:rPr>
        <w:t>、中国国家认证认可监督管理委员会网站</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"http://www.cqc.com.cn"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lang w:eastAsia="zh-CN"/>
        </w:rPr>
        <w:t>www.chunhuiguoji.com</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pacing w:val="0"/>
          <w:sz w:val="21"/>
          <w:szCs w:val="21"/>
          <w:highlight w:val="none"/>
        </w:rPr>
        <w:t>、中国合格评定国家认可委员会网站</w:t>
      </w:r>
      <w:r>
        <w:rPr>
          <w:rFonts w:hint="eastAsia" w:ascii="宋体" w:hAnsi="宋体" w:eastAsia="宋体" w:cs="宋体"/>
          <w:color w:val="auto"/>
          <w:spacing w:val="-1"/>
          <w:sz w:val="21"/>
          <w:szCs w:val="21"/>
          <w:highlight w:val="none"/>
        </w:rPr>
        <w:t xml:space="preserve"> www.cnas.org.cn。</w:t>
      </w:r>
    </w:p>
    <w:p w14:paraId="7F9798C2">
      <w:pPr>
        <w:keepNext w:val="0"/>
        <w:keepLines w:val="0"/>
        <w:pageBreakBefore w:val="0"/>
        <w:widowControl/>
        <w:kinsoku/>
        <w:wordWrap/>
        <w:overflowPunct/>
        <w:topLinePunct w:val="0"/>
        <w:autoSpaceDE/>
        <w:autoSpaceDN/>
        <w:bidi w:val="0"/>
        <w:adjustRightInd/>
        <w:snapToGrid/>
        <w:spacing w:before="0" w:after="0" w:line="360" w:lineRule="auto"/>
        <w:ind w:left="420" w:right="0" w:firstLine="0"/>
        <w:jc w:val="left"/>
        <w:textAlignment w:val="auto"/>
        <w:rPr>
          <w:rFonts w:hint="eastAsia" w:ascii="宋体" w:hAnsi="宋体" w:eastAsia="宋体" w:cs="宋体"/>
          <w:color w:val="auto"/>
          <w:spacing w:val="-10"/>
          <w:sz w:val="21"/>
          <w:szCs w:val="21"/>
          <w:highlight w:val="none"/>
        </w:rPr>
      </w:pPr>
      <w:r>
        <w:rPr>
          <w:rFonts w:hint="eastAsia" w:ascii="宋体" w:hAnsi="宋体" w:eastAsia="宋体" w:cs="宋体"/>
          <w:color w:val="auto"/>
          <w:spacing w:val="0"/>
          <w:sz w:val="21"/>
          <w:szCs w:val="21"/>
          <w:highlight w:val="none"/>
        </w:rPr>
        <w:t>2、本公司证书样式查询我公司网站</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"http://www.cqc.com.cn"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lang w:eastAsia="zh-CN"/>
        </w:rPr>
        <w:t>www.chunhuiguoji.com</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pacing w:val="-1"/>
          <w:sz w:val="21"/>
          <w:szCs w:val="21"/>
          <w:highlight w:val="none"/>
        </w:rPr>
        <w:t>。</w:t>
      </w:r>
    </w:p>
    <w:p w14:paraId="51E30A30">
      <w:pPr>
        <w:keepNext w:val="0"/>
        <w:keepLines w:val="0"/>
        <w:pageBreakBefore w:val="0"/>
        <w:widowControl/>
        <w:kinsoku/>
        <w:wordWrap/>
        <w:overflowPunct/>
        <w:topLinePunct w:val="0"/>
        <w:autoSpaceDE/>
        <w:autoSpaceDN/>
        <w:bidi w:val="0"/>
        <w:adjustRightInd/>
        <w:snapToGrid/>
        <w:spacing w:before="0" w:after="0" w:line="360" w:lineRule="auto"/>
        <w:ind w:left="0" w:right="0" w:firstLine="380" w:firstLineChars="200"/>
        <w:jc w:val="left"/>
        <w:textAlignment w:val="auto"/>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lang w:val="en-US" w:eastAsia="zh-CN"/>
        </w:rPr>
        <w:t>3、</w:t>
      </w:r>
      <w:r>
        <w:rPr>
          <w:rFonts w:hint="eastAsia" w:ascii="宋体" w:hAnsi="宋体" w:eastAsia="宋体" w:cs="宋体"/>
          <w:color w:val="auto"/>
          <w:spacing w:val="-10"/>
          <w:sz w:val="21"/>
          <w:szCs w:val="21"/>
          <w:highlight w:val="none"/>
        </w:rPr>
        <w:t>可开展的认证业务范围，获得认可的情况，以及分包境外认证机构业务的情况</w:t>
      </w:r>
      <w:r>
        <w:rPr>
          <w:rFonts w:hint="eastAsia" w:ascii="宋体" w:hAnsi="宋体" w:eastAsia="宋体" w:cs="宋体"/>
          <w:color w:val="auto"/>
          <w:spacing w:val="0"/>
          <w:sz w:val="21"/>
          <w:szCs w:val="21"/>
          <w:highlight w:val="none"/>
        </w:rPr>
        <w:t>查询我公司</w:t>
      </w:r>
      <w:r>
        <w:rPr>
          <w:rFonts w:hint="eastAsia" w:ascii="宋体" w:hAnsi="宋体" w:eastAsia="宋体" w:cs="宋体"/>
          <w:color w:val="auto"/>
          <w:spacing w:val="-3"/>
          <w:sz w:val="21"/>
          <w:szCs w:val="21"/>
          <w:highlight w:val="none"/>
        </w:rPr>
        <w:t>网站</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"http://www.cqc.com.cn"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lang w:eastAsia="zh-CN"/>
        </w:rPr>
        <w:t>www.chunhuiguoji.com</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pacing w:val="-1"/>
          <w:sz w:val="21"/>
          <w:szCs w:val="21"/>
          <w:highlight w:val="none"/>
        </w:rPr>
        <w:t>。</w:t>
      </w:r>
    </w:p>
    <w:p w14:paraId="15C23735">
      <w:pPr>
        <w:keepNext w:val="0"/>
        <w:keepLines w:val="0"/>
        <w:pageBreakBefore w:val="0"/>
        <w:widowControl/>
        <w:kinsoku/>
        <w:wordWrap/>
        <w:overflowPunct/>
        <w:topLinePunct w:val="0"/>
        <w:autoSpaceDE/>
        <w:autoSpaceDN/>
        <w:bidi w:val="0"/>
        <w:adjustRightInd/>
        <w:snapToGrid/>
        <w:spacing w:before="0" w:after="0" w:line="360" w:lineRule="auto"/>
        <w:ind w:left="0" w:right="0" w:firstLine="380" w:firstLineChars="200"/>
        <w:jc w:val="left"/>
        <w:textAlignment w:val="auto"/>
        <w:rPr>
          <w:rFonts w:ascii="SBNKGT+MicrosoftYaHei" w:hAnsi="SBNKGT+MicrosoftYaHei" w:cs="SBNKGT+MicrosoftYaHei"/>
          <w:color w:val="auto"/>
          <w:spacing w:val="-10"/>
          <w:sz w:val="21"/>
          <w:highlight w:val="none"/>
        </w:rPr>
      </w:pPr>
    </w:p>
    <w:p w14:paraId="7ED4DBE4">
      <w:pPr>
        <w:rPr>
          <w:bCs/>
          <w:color w:val="auto"/>
          <w:szCs w:val="21"/>
          <w:highlight w:val="none"/>
        </w:rPr>
      </w:pPr>
      <w:r>
        <w:rPr>
          <w:bCs/>
          <w:color w:val="auto"/>
          <w:szCs w:val="21"/>
          <w:highlight w:val="none"/>
        </w:rPr>
        <w:br w:type="page"/>
      </w:r>
    </w:p>
    <w:p w14:paraId="67E41248">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outlineLvl w:val="0"/>
        <w:rPr>
          <w:rFonts w:hint="eastAsia" w:ascii="Times New Roman" w:hAnsi="Times New Roman" w:eastAsia="宋体" w:cs="Times New Roman"/>
          <w:b/>
          <w:color w:val="auto"/>
          <w:spacing w:val="32"/>
          <w:sz w:val="32"/>
          <w:szCs w:val="32"/>
          <w:highlight w:val="none"/>
          <w:lang w:val="en-US" w:eastAsia="zh-CN"/>
        </w:rPr>
      </w:pPr>
      <w:bookmarkStart w:id="32" w:name="_Toc7223"/>
      <w:r>
        <w:rPr>
          <w:rFonts w:hint="eastAsia" w:ascii="Times New Roman" w:hAnsi="Times New Roman" w:eastAsia="宋体" w:cs="Times New Roman"/>
          <w:b/>
          <w:color w:val="auto"/>
          <w:spacing w:val="32"/>
          <w:sz w:val="32"/>
          <w:szCs w:val="32"/>
          <w:highlight w:val="none"/>
          <w:lang w:val="en-US" w:eastAsia="zh-CN"/>
        </w:rPr>
        <w:t>七、认证流程</w:t>
      </w:r>
      <w:bookmarkEnd w:id="32"/>
    </w:p>
    <w:p w14:paraId="6156DC71">
      <w:pPr>
        <w:jc w:val="center"/>
        <w:rPr>
          <w:rFonts w:hint="eastAsia"/>
          <w:b/>
          <w:color w:val="auto"/>
          <w:sz w:val="32"/>
          <w:szCs w:val="32"/>
          <w:highlight w:val="none"/>
          <w:lang w:val="en-US" w:eastAsia="zh-CN"/>
        </w:rPr>
      </w:pPr>
      <w:r>
        <w:rPr>
          <w:rFonts w:hint="eastAsia"/>
          <w:b/>
          <w:color w:val="auto"/>
          <w:sz w:val="32"/>
          <w:szCs w:val="32"/>
          <w:highlight w:val="none"/>
          <w:lang w:val="en-US" w:eastAsia="zh-CN"/>
        </w:rPr>
        <w:drawing>
          <wp:inline distT="0" distB="0" distL="114300" distR="114300">
            <wp:extent cx="4118610" cy="8540115"/>
            <wp:effectExtent l="0" t="0" r="11430" b="9525"/>
            <wp:docPr id="4" name="图片 4" descr="627b69613e4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27b69613e4e6"/>
                    <pic:cNvPicPr>
                      <a:picLocks noChangeAspect="1"/>
                    </pic:cNvPicPr>
                  </pic:nvPicPr>
                  <pic:blipFill>
                    <a:blip r:embed="rId9"/>
                    <a:srcRect l="5667" r="52146" b="3236"/>
                    <a:stretch>
                      <a:fillRect/>
                    </a:stretch>
                  </pic:blipFill>
                  <pic:spPr>
                    <a:xfrm>
                      <a:off x="0" y="0"/>
                      <a:ext cx="4118610" cy="8540115"/>
                    </a:xfrm>
                    <a:prstGeom prst="rect">
                      <a:avLst/>
                    </a:prstGeom>
                  </pic:spPr>
                </pic:pic>
              </a:graphicData>
            </a:graphic>
          </wp:inline>
        </w:drawing>
      </w:r>
    </w:p>
    <w:p w14:paraId="34738D21">
      <w:pPr>
        <w:jc w:val="center"/>
        <w:rPr>
          <w:rFonts w:hint="eastAsia"/>
          <w:b/>
          <w:color w:val="auto"/>
          <w:sz w:val="32"/>
          <w:szCs w:val="32"/>
          <w:highlight w:val="none"/>
          <w:lang w:val="en-US" w:eastAsia="zh-CN"/>
        </w:rPr>
      </w:pPr>
      <w:r>
        <w:rPr>
          <w:rFonts w:hint="eastAsia"/>
          <w:b/>
          <w:color w:val="auto"/>
          <w:sz w:val="32"/>
          <w:szCs w:val="32"/>
          <w:highlight w:val="none"/>
          <w:lang w:val="en-US" w:eastAsia="zh-CN"/>
        </w:rPr>
        <w:br w:type="page"/>
      </w:r>
      <w:r>
        <w:rPr>
          <w:rFonts w:hint="eastAsia"/>
          <w:b/>
          <w:color w:val="auto"/>
          <w:sz w:val="32"/>
          <w:szCs w:val="32"/>
          <w:highlight w:val="none"/>
          <w:lang w:val="en-US" w:eastAsia="zh-CN"/>
        </w:rPr>
        <w:drawing>
          <wp:inline distT="0" distB="0" distL="114300" distR="114300">
            <wp:extent cx="4620260" cy="8884920"/>
            <wp:effectExtent l="0" t="0" r="12700" b="0"/>
            <wp:docPr id="5" name="图片 5" descr="627b69613e4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627b69613e4e6"/>
                    <pic:cNvPicPr>
                      <a:picLocks noChangeAspect="1"/>
                    </pic:cNvPicPr>
                  </pic:nvPicPr>
                  <pic:blipFill>
                    <a:blip r:embed="rId9"/>
                    <a:srcRect l="51760" r="4604" b="7170"/>
                    <a:stretch>
                      <a:fillRect/>
                    </a:stretch>
                  </pic:blipFill>
                  <pic:spPr>
                    <a:xfrm>
                      <a:off x="0" y="0"/>
                      <a:ext cx="4620260" cy="8884920"/>
                    </a:xfrm>
                    <a:prstGeom prst="rect">
                      <a:avLst/>
                    </a:prstGeom>
                  </pic:spPr>
                </pic:pic>
              </a:graphicData>
            </a:graphic>
          </wp:inline>
        </w:drawing>
      </w:r>
    </w:p>
    <w:p w14:paraId="72B1736C">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outlineLvl w:val="0"/>
        <w:rPr>
          <w:rFonts w:hint="eastAsia" w:ascii="Times New Roman" w:hAnsi="Times New Roman" w:eastAsia="宋体" w:cs="Times New Roman"/>
          <w:b/>
          <w:color w:val="auto"/>
          <w:spacing w:val="32"/>
          <w:sz w:val="32"/>
          <w:szCs w:val="32"/>
          <w:highlight w:val="none"/>
          <w:lang w:val="en-US" w:eastAsia="zh-CN"/>
        </w:rPr>
      </w:pPr>
      <w:bookmarkStart w:id="33" w:name="_Toc24976"/>
      <w:r>
        <w:rPr>
          <w:rFonts w:hint="eastAsia" w:ascii="Times New Roman" w:hAnsi="Times New Roman" w:eastAsia="宋体" w:cs="Times New Roman"/>
          <w:b/>
          <w:color w:val="auto"/>
          <w:spacing w:val="32"/>
          <w:sz w:val="32"/>
          <w:szCs w:val="32"/>
          <w:highlight w:val="none"/>
          <w:lang w:val="en-US" w:eastAsia="zh-CN"/>
        </w:rPr>
        <w:t>八、 授予、拒绝、保持认证、扩大或缩小认证范围、更新、暂停、恢复或者撤销认证管理规定</w:t>
      </w:r>
      <w:bookmarkEnd w:id="33"/>
    </w:p>
    <w:p w14:paraId="3F20A557">
      <w:pPr>
        <w:shd w:val="clear"/>
        <w:spacing w:line="480" w:lineRule="exact"/>
        <w:jc w:val="center"/>
        <w:rPr>
          <w:rFonts w:ascii="宋体" w:hAnsi="宋体" w:cs="宋体"/>
          <w:b/>
          <w:bCs/>
          <w:color w:val="auto"/>
          <w:kern w:val="24"/>
          <w:sz w:val="32"/>
          <w:szCs w:val="32"/>
          <w:highlight w:val="none"/>
        </w:rPr>
      </w:pPr>
    </w:p>
    <w:p w14:paraId="7EE30060">
      <w:pPr>
        <w:keepNext w:val="0"/>
        <w:keepLines w:val="0"/>
        <w:pageBreakBefore w:val="0"/>
        <w:kinsoku/>
        <w:wordWrap/>
        <w:overflowPunct/>
        <w:bidi w:val="0"/>
        <w:snapToGrid/>
        <w:spacing w:line="324" w:lineRule="auto"/>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r>
        <w:rPr>
          <w:rFonts w:hint="eastAsia" w:ascii="宋体" w:hAnsi="宋体" w:eastAsia="宋体" w:cs="宋体"/>
          <w:b/>
          <w:color w:val="auto"/>
          <w:sz w:val="21"/>
          <w:szCs w:val="21"/>
          <w:highlight w:val="none"/>
          <w:lang w:eastAsia="zh-CN"/>
        </w:rPr>
        <w:t xml:space="preserve">. </w:t>
      </w:r>
      <w:r>
        <w:rPr>
          <w:rFonts w:hint="eastAsia" w:ascii="宋体" w:hAnsi="宋体" w:eastAsia="宋体" w:cs="宋体"/>
          <w:b/>
          <w:color w:val="auto"/>
          <w:sz w:val="21"/>
          <w:szCs w:val="21"/>
          <w:highlight w:val="none"/>
        </w:rPr>
        <w:t>目的</w:t>
      </w:r>
    </w:p>
    <w:p w14:paraId="0FA6BE7D">
      <w:pPr>
        <w:keepNext w:val="0"/>
        <w:keepLines w:val="0"/>
        <w:pageBreakBefore w:val="0"/>
        <w:kinsoku/>
        <w:wordWrap/>
        <w:overflowPunct/>
        <w:bidi w:val="0"/>
        <w:snapToGrid/>
        <w:spacing w:line="324"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为了阐明本公司对批准、保持、更新、扩大、缩小、暂停、撤销</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注销</w:t>
      </w:r>
      <w:r>
        <w:rPr>
          <w:rFonts w:hint="eastAsia" w:ascii="宋体" w:hAnsi="宋体" w:eastAsia="宋体" w:cs="宋体"/>
          <w:color w:val="auto"/>
          <w:sz w:val="21"/>
          <w:szCs w:val="21"/>
          <w:highlight w:val="none"/>
        </w:rPr>
        <w:t>和恢复认证管理体系认证注册的条件，规范认证决定的过程，特制定本程序。</w:t>
      </w:r>
    </w:p>
    <w:p w14:paraId="0D28DE46">
      <w:pPr>
        <w:keepNext w:val="0"/>
        <w:keepLines w:val="0"/>
        <w:pageBreakBefore w:val="0"/>
        <w:kinsoku/>
        <w:wordWrap/>
        <w:overflowPunct/>
        <w:bidi w:val="0"/>
        <w:snapToGrid/>
        <w:spacing w:line="324" w:lineRule="auto"/>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w:t>
      </w:r>
      <w:r>
        <w:rPr>
          <w:rFonts w:hint="eastAsia" w:ascii="宋体" w:hAnsi="宋体" w:eastAsia="宋体" w:cs="宋体"/>
          <w:b/>
          <w:color w:val="auto"/>
          <w:sz w:val="21"/>
          <w:szCs w:val="21"/>
          <w:highlight w:val="none"/>
          <w:lang w:eastAsia="zh-CN"/>
        </w:rPr>
        <w:t xml:space="preserve">. </w:t>
      </w:r>
      <w:r>
        <w:rPr>
          <w:rFonts w:hint="eastAsia" w:ascii="宋体" w:hAnsi="宋体" w:eastAsia="宋体" w:cs="宋体"/>
          <w:b/>
          <w:color w:val="auto"/>
          <w:sz w:val="21"/>
          <w:szCs w:val="21"/>
          <w:highlight w:val="none"/>
        </w:rPr>
        <w:t>适用范围</w:t>
      </w:r>
    </w:p>
    <w:p w14:paraId="61C7CC78">
      <w:pPr>
        <w:keepNext w:val="0"/>
        <w:keepLines w:val="0"/>
        <w:pageBreakBefore w:val="0"/>
        <w:kinsoku/>
        <w:wordWrap/>
        <w:overflowPunct/>
        <w:bidi w:val="0"/>
        <w:snapToGrid/>
        <w:spacing w:line="324"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适用于</w:t>
      </w:r>
      <w:r>
        <w:rPr>
          <w:rFonts w:hint="eastAsia" w:ascii="宋体" w:hAnsi="宋体" w:eastAsia="宋体" w:cs="宋体"/>
          <w:color w:val="auto"/>
          <w:sz w:val="21"/>
          <w:szCs w:val="21"/>
          <w:highlight w:val="none"/>
          <w:lang w:eastAsia="zh-CN"/>
        </w:rPr>
        <w:t>春晖国际认证有限公司</w:t>
      </w:r>
      <w:r>
        <w:rPr>
          <w:rFonts w:hint="eastAsia" w:ascii="宋体" w:hAnsi="宋体" w:eastAsia="宋体" w:cs="宋体"/>
          <w:color w:val="auto"/>
          <w:sz w:val="21"/>
          <w:szCs w:val="21"/>
          <w:highlight w:val="none"/>
        </w:rPr>
        <w:t>(以下简称</w:t>
      </w:r>
      <w:r>
        <w:rPr>
          <w:rFonts w:hint="eastAsia" w:ascii="宋体" w:hAnsi="宋体" w:eastAsia="宋体" w:cs="宋体"/>
          <w:color w:val="auto"/>
          <w:sz w:val="21"/>
          <w:szCs w:val="21"/>
          <w:highlight w:val="none"/>
          <w:lang w:eastAsia="zh-CN"/>
        </w:rPr>
        <w:t>CHRZ</w:t>
      </w:r>
      <w:r>
        <w:rPr>
          <w:rFonts w:hint="eastAsia" w:ascii="宋体" w:hAnsi="宋体" w:eastAsia="宋体" w:cs="宋体"/>
          <w:color w:val="auto"/>
          <w:sz w:val="21"/>
          <w:szCs w:val="21"/>
          <w:highlight w:val="none"/>
        </w:rPr>
        <w:t>）做出批准、保持、更新、扩大、缩小、暂停、撤销</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注销</w:t>
      </w:r>
      <w:r>
        <w:rPr>
          <w:rFonts w:hint="eastAsia" w:ascii="宋体" w:hAnsi="宋体" w:eastAsia="宋体" w:cs="宋体"/>
          <w:color w:val="auto"/>
          <w:sz w:val="21"/>
          <w:szCs w:val="21"/>
          <w:highlight w:val="none"/>
        </w:rPr>
        <w:t>和恢复认证管理体系注册的认证决定。</w:t>
      </w:r>
    </w:p>
    <w:p w14:paraId="7B27D28A">
      <w:pPr>
        <w:keepNext w:val="0"/>
        <w:keepLines w:val="0"/>
        <w:pageBreakBefore w:val="0"/>
        <w:kinsoku/>
        <w:wordWrap/>
        <w:overflowPunct/>
        <w:bidi w:val="0"/>
        <w:snapToGrid/>
        <w:spacing w:line="324" w:lineRule="auto"/>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w:t>
      </w:r>
      <w:r>
        <w:rPr>
          <w:rFonts w:hint="eastAsia" w:ascii="宋体" w:hAnsi="宋体" w:eastAsia="宋体" w:cs="宋体"/>
          <w:b/>
          <w:color w:val="auto"/>
          <w:sz w:val="21"/>
          <w:szCs w:val="21"/>
          <w:highlight w:val="none"/>
          <w:lang w:eastAsia="zh-CN"/>
        </w:rPr>
        <w:t xml:space="preserve">. </w:t>
      </w:r>
      <w:r>
        <w:rPr>
          <w:rFonts w:hint="eastAsia" w:ascii="宋体" w:hAnsi="宋体" w:eastAsia="宋体" w:cs="宋体"/>
          <w:b/>
          <w:color w:val="auto"/>
          <w:sz w:val="21"/>
          <w:szCs w:val="21"/>
          <w:highlight w:val="none"/>
        </w:rPr>
        <w:t>引用文件</w:t>
      </w:r>
    </w:p>
    <w:p w14:paraId="452BD69D">
      <w:pPr>
        <w:keepNext w:val="0"/>
        <w:keepLines w:val="0"/>
        <w:pageBreakBefore w:val="0"/>
        <w:kinsoku/>
        <w:wordWrap/>
        <w:overflowPunct/>
        <w:bidi w:val="0"/>
        <w:snapToGrid/>
        <w:spacing w:line="324"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3.1 </w:t>
      </w:r>
      <w:r>
        <w:rPr>
          <w:rFonts w:hint="eastAsia" w:ascii="宋体" w:hAnsi="宋体" w:eastAsia="宋体" w:cs="宋体"/>
          <w:color w:val="auto"/>
          <w:sz w:val="21"/>
          <w:szCs w:val="21"/>
          <w:highlight w:val="none"/>
        </w:rPr>
        <w:t>CNAS-CC01:2015</w:t>
      </w:r>
      <w:r>
        <w:rPr>
          <w:rFonts w:hint="eastAsia" w:ascii="宋体" w:hAnsi="宋体" w:eastAsia="宋体" w:cs="宋体"/>
          <w:color w:val="auto"/>
          <w:sz w:val="21"/>
          <w:szCs w:val="21"/>
          <w:highlight w:val="none"/>
          <w:lang w:val="en-US" w:eastAsia="zh-CN"/>
        </w:rPr>
        <w:t xml:space="preserve">《管理体系认证机构要求》(ISO/IEC 17021-1:2015)（2019 年第一次修订） </w:t>
      </w:r>
    </w:p>
    <w:p w14:paraId="678BD10D">
      <w:pPr>
        <w:keepNext w:val="0"/>
        <w:keepLines w:val="0"/>
        <w:pageBreakBefore w:val="0"/>
        <w:kinsoku/>
        <w:wordWrap/>
        <w:overflowPunct/>
        <w:bidi w:val="0"/>
        <w:snapToGrid/>
        <w:spacing w:line="324"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国家认监委201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号)《质量管理体系认证规则》</w:t>
      </w:r>
    </w:p>
    <w:p w14:paraId="530CCD2D">
      <w:pPr>
        <w:keepNext w:val="0"/>
        <w:keepLines w:val="0"/>
        <w:pageBreakBefore w:val="0"/>
        <w:kinsoku/>
        <w:wordWrap/>
        <w:overflowPunct/>
        <w:bidi w:val="0"/>
        <w:snapToGrid/>
        <w:spacing w:line="324"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3.3 </w:t>
      </w:r>
      <w:r>
        <w:rPr>
          <w:rFonts w:hint="eastAsia" w:ascii="宋体" w:hAnsi="宋体" w:eastAsia="宋体" w:cs="宋体"/>
          <w:color w:val="auto"/>
          <w:sz w:val="21"/>
          <w:szCs w:val="21"/>
          <w:highlight w:val="none"/>
          <w:lang w:val="en-US" w:eastAsia="zh-CN"/>
        </w:rPr>
        <w:t>ISO 19011:2018</w:t>
      </w:r>
      <w:r>
        <w:rPr>
          <w:rFonts w:hint="eastAsia" w:ascii="宋体" w:hAnsi="宋体" w:eastAsia="宋体" w:cs="宋体"/>
          <w:color w:val="auto"/>
          <w:sz w:val="21"/>
          <w:szCs w:val="21"/>
          <w:highlight w:val="none"/>
        </w:rPr>
        <w:t>《管理体系审核指南》</w:t>
      </w:r>
    </w:p>
    <w:p w14:paraId="1AC7A20A">
      <w:pPr>
        <w:keepNext w:val="0"/>
        <w:keepLines w:val="0"/>
        <w:pageBreakBefore w:val="0"/>
        <w:kinsoku/>
        <w:wordWrap/>
        <w:overflowPunct/>
        <w:bidi w:val="0"/>
        <w:snapToGrid/>
        <w:spacing w:line="324"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3.4《中华人民共和国认证认可条例》20</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版</w:t>
      </w:r>
    </w:p>
    <w:p w14:paraId="548D5C12">
      <w:pPr>
        <w:keepNext w:val="0"/>
        <w:keepLines w:val="0"/>
        <w:pageBreakBefore w:val="0"/>
        <w:kinsoku/>
        <w:wordWrap/>
        <w:overflowPunct/>
        <w:bidi w:val="0"/>
        <w:snapToGrid/>
        <w:spacing w:line="324" w:lineRule="auto"/>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w:t>
      </w:r>
      <w:r>
        <w:rPr>
          <w:rFonts w:hint="eastAsia" w:ascii="宋体" w:hAnsi="宋体" w:eastAsia="宋体" w:cs="宋体"/>
          <w:b/>
          <w:color w:val="auto"/>
          <w:sz w:val="21"/>
          <w:szCs w:val="21"/>
          <w:highlight w:val="none"/>
          <w:lang w:eastAsia="zh-CN"/>
        </w:rPr>
        <w:t xml:space="preserve">. </w:t>
      </w:r>
      <w:r>
        <w:rPr>
          <w:rFonts w:hint="eastAsia" w:ascii="宋体" w:hAnsi="宋体" w:eastAsia="宋体" w:cs="宋体"/>
          <w:b/>
          <w:color w:val="auto"/>
          <w:sz w:val="21"/>
          <w:szCs w:val="21"/>
          <w:highlight w:val="none"/>
        </w:rPr>
        <w:t>条件</w:t>
      </w:r>
    </w:p>
    <w:p w14:paraId="0C282513">
      <w:pPr>
        <w:keepNext w:val="0"/>
        <w:keepLines w:val="0"/>
        <w:pageBreakBefore w:val="0"/>
        <w:kinsoku/>
        <w:wordWrap/>
        <w:overflowPunct/>
        <w:bidi w:val="0"/>
        <w:snapToGrid/>
        <w:spacing w:line="324"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 批准认证注册的条件：</w:t>
      </w:r>
    </w:p>
    <w:p w14:paraId="7DBBA425">
      <w:pPr>
        <w:tabs>
          <w:tab w:val="left" w:pos="527"/>
        </w:tabs>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.1在满足以下条件时，可做出授予、更新认证的决定：</w:t>
      </w:r>
    </w:p>
    <w:p w14:paraId="1652CD6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a)</w:t>
      </w:r>
      <w:r>
        <w:rPr>
          <w:rFonts w:hint="eastAsia" w:ascii="宋体" w:hAnsi="宋体" w:eastAsia="宋体" w:cs="宋体"/>
          <w:color w:val="auto"/>
          <w:sz w:val="21"/>
          <w:szCs w:val="21"/>
          <w:highlight w:val="none"/>
          <w:lang w:val="en-US" w:eastAsia="zh-CN"/>
        </w:rPr>
        <w:t>符合《拟认证组织须知》中3.1中的条件。</w:t>
      </w:r>
    </w:p>
    <w:p w14:paraId="4693CBD8">
      <w:p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b)</w:t>
      </w:r>
      <w:r>
        <w:rPr>
          <w:rFonts w:hint="eastAsia" w:ascii="宋体" w:hAnsi="宋体" w:eastAsia="宋体" w:cs="宋体"/>
          <w:color w:val="auto"/>
          <w:sz w:val="21"/>
          <w:szCs w:val="21"/>
          <w:highlight w:val="none"/>
        </w:rPr>
        <w:t>申请组织的体系文件化信息基本符合标准要求</w:t>
      </w:r>
      <w:r>
        <w:rPr>
          <w:rFonts w:hint="eastAsia" w:ascii="宋体" w:hAnsi="宋体" w:eastAsia="宋体" w:cs="宋体"/>
          <w:color w:val="auto"/>
          <w:sz w:val="21"/>
          <w:szCs w:val="21"/>
          <w:highlight w:val="none"/>
          <w:lang w:val="en-US" w:eastAsia="zh-CN"/>
        </w:rPr>
        <w:t>且运行有效</w:t>
      </w:r>
      <w:r>
        <w:rPr>
          <w:rFonts w:hint="eastAsia" w:ascii="宋体" w:hAnsi="宋体" w:eastAsia="宋体" w:cs="宋体"/>
          <w:color w:val="auto"/>
          <w:sz w:val="21"/>
          <w:szCs w:val="21"/>
          <w:highlight w:val="none"/>
        </w:rPr>
        <w:t>；</w:t>
      </w:r>
    </w:p>
    <w:p w14:paraId="5B257337">
      <w:pPr>
        <w:tabs>
          <w:tab w:val="left" w:pos="707"/>
        </w:tabs>
        <w:spacing w:line="360" w:lineRule="auto"/>
        <w:ind w:left="42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c</w:t>
      </w:r>
      <w:r>
        <w:rPr>
          <w:rFonts w:hint="eastAsia" w:ascii="宋体" w:hAnsi="宋体" w:eastAsia="宋体" w:cs="宋体"/>
          <w:color w:val="auto"/>
          <w:sz w:val="21"/>
          <w:szCs w:val="21"/>
          <w:highlight w:val="none"/>
        </w:rPr>
        <w:t>)申请组织的管理体系运行有效</w:t>
      </w:r>
      <w:r>
        <w:rPr>
          <w:rFonts w:hint="eastAsia" w:ascii="宋体" w:hAnsi="宋体" w:eastAsia="宋体" w:cs="宋体"/>
          <w:color w:val="auto"/>
          <w:sz w:val="21"/>
          <w:szCs w:val="21"/>
          <w:highlight w:val="none"/>
          <w:lang w:eastAsia="zh-CN"/>
        </w:rPr>
        <w:t>；</w:t>
      </w:r>
    </w:p>
    <w:p w14:paraId="0531FD70">
      <w:p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d</w:t>
      </w:r>
      <w:r>
        <w:rPr>
          <w:rFonts w:hint="eastAsia" w:ascii="宋体" w:hAnsi="宋体" w:eastAsia="宋体" w:cs="宋体"/>
          <w:color w:val="auto"/>
          <w:sz w:val="21"/>
          <w:szCs w:val="21"/>
          <w:highlight w:val="none"/>
        </w:rPr>
        <w:t>)申请组织的产品和服务符合法律法规要求；</w:t>
      </w:r>
    </w:p>
    <w:p w14:paraId="65B18CA0">
      <w:pPr>
        <w:tabs>
          <w:tab w:val="left" w:pos="70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e</w:t>
      </w:r>
      <w:r>
        <w:rPr>
          <w:rFonts w:hint="eastAsia" w:ascii="宋体" w:hAnsi="宋体" w:eastAsia="宋体" w:cs="宋体"/>
          <w:color w:val="auto"/>
          <w:sz w:val="21"/>
          <w:szCs w:val="21"/>
          <w:highlight w:val="none"/>
        </w:rPr>
        <w:t>)申请组织按照认证合同规定履行了相关义务；</w:t>
      </w:r>
    </w:p>
    <w:p w14:paraId="0D3E8D48">
      <w:pPr>
        <w:tabs>
          <w:tab w:val="left" w:pos="699"/>
        </w:tabs>
        <w:spacing w:line="360" w:lineRule="auto"/>
        <w:ind w:left="420" w:right="4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f</w:t>
      </w:r>
      <w:r>
        <w:rPr>
          <w:rFonts w:hint="eastAsia" w:ascii="宋体" w:hAnsi="宋体" w:eastAsia="宋体" w:cs="宋体"/>
          <w:color w:val="auto"/>
          <w:sz w:val="21"/>
          <w:szCs w:val="21"/>
          <w:highlight w:val="none"/>
        </w:rPr>
        <w:t>)对于反映以下问题的</w:t>
      </w:r>
      <w:r>
        <w:rPr>
          <w:rFonts w:hint="eastAsia" w:ascii="宋体" w:hAnsi="宋体" w:eastAsia="宋体" w:cs="宋体"/>
          <w:color w:val="auto"/>
          <w:sz w:val="21"/>
          <w:szCs w:val="21"/>
          <w:highlight w:val="none"/>
          <w:lang w:val="en-US" w:eastAsia="zh-CN"/>
        </w:rPr>
        <w:t>严重</w:t>
      </w:r>
      <w:r>
        <w:rPr>
          <w:rFonts w:hint="eastAsia" w:ascii="宋体" w:hAnsi="宋体" w:eastAsia="宋体" w:cs="宋体"/>
          <w:color w:val="auto"/>
          <w:sz w:val="21"/>
          <w:szCs w:val="21"/>
          <w:highlight w:val="none"/>
        </w:rPr>
        <w:t>不符合项，经审查、接受并验证了纠正和纠正措施及其结果的有效性：</w:t>
      </w:r>
    </w:p>
    <w:p w14:paraId="14ED8091">
      <w:pPr>
        <w:tabs>
          <w:tab w:val="left" w:pos="699"/>
        </w:tabs>
        <w:spacing w:line="360" w:lineRule="auto"/>
        <w:ind w:left="420" w:right="40"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①在持续改进管理体系的有效性方面存在缺陷，实现目标有重大疑问。</w:t>
      </w:r>
    </w:p>
    <w:p w14:paraId="624E2584">
      <w:pPr>
        <w:tabs>
          <w:tab w:val="left" w:pos="699"/>
        </w:tabs>
        <w:spacing w:line="360" w:lineRule="auto"/>
        <w:ind w:left="420" w:right="40"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②制定的目标不可测量、 或测量方法不明确。</w:t>
      </w:r>
    </w:p>
    <w:p w14:paraId="564D671C">
      <w:pPr>
        <w:tabs>
          <w:tab w:val="left" w:pos="699"/>
        </w:tabs>
        <w:spacing w:line="360" w:lineRule="auto"/>
        <w:ind w:left="420" w:right="40"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③对实现目标具有重要影响的关键点的监视和测量未有效运行，或者对这些关键点的报告或评审记录不完整或无效。</w:t>
      </w:r>
    </w:p>
    <w:p w14:paraId="604BF2E7">
      <w:pPr>
        <w:tabs>
          <w:tab w:val="left" w:pos="699"/>
        </w:tabs>
        <w:spacing w:line="360" w:lineRule="auto"/>
        <w:ind w:left="420" w:right="40"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④其他严重不符合项。</w:t>
      </w:r>
    </w:p>
    <w:p w14:paraId="327C2C30">
      <w:pPr>
        <w:tabs>
          <w:tab w:val="left" w:pos="699"/>
        </w:tabs>
        <w:spacing w:line="360" w:lineRule="auto"/>
        <w:ind w:right="4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f)对其他轻微不符合项，已评审并接受了认证委托人的纠正措施或计划采取的纠正措施；。</w:t>
      </w:r>
    </w:p>
    <w:p w14:paraId="117FC87C">
      <w:pPr>
        <w:tabs>
          <w:tab w:val="left" w:pos="687"/>
        </w:tabs>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注 </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：轻微不符合关闭期限：初次认证审核通常不超过30天，最长不超过90天。监审和再认证时通常不超过15天，最长不超过30天。</w:t>
      </w:r>
    </w:p>
    <w:p w14:paraId="36E60EC4">
      <w:pPr>
        <w:tabs>
          <w:tab w:val="left" w:pos="687"/>
        </w:tabs>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：严重不符合项关闭期限：初次认证：在第二阶段审核结束之日起6 个月内完成；监督审核：在审核结束之日起3 个月内完成；再认证：在原认证证书到期前完成。</w:t>
      </w:r>
    </w:p>
    <w:p w14:paraId="7F601809">
      <w:pPr>
        <w:tabs>
          <w:tab w:val="left" w:pos="687"/>
        </w:tabs>
        <w:spacing w:line="360" w:lineRule="auto"/>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注</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：再认证审核中发现的轻微不符合项，验证关闭时间可以在证书到期日之后</w:t>
      </w:r>
      <w:r>
        <w:rPr>
          <w:rFonts w:hint="eastAsia" w:ascii="宋体" w:hAnsi="宋体" w:eastAsia="宋体" w:cs="宋体"/>
          <w:color w:val="auto"/>
          <w:sz w:val="21"/>
          <w:szCs w:val="21"/>
          <w:highlight w:val="none"/>
          <w:lang w:val="en-US" w:eastAsia="zh-CN"/>
        </w:rPr>
        <w:t>但不超过6个月</w:t>
      </w:r>
      <w:r>
        <w:rPr>
          <w:rFonts w:hint="eastAsia" w:ascii="宋体" w:hAnsi="宋体" w:eastAsia="宋体" w:cs="宋体"/>
          <w:color w:val="auto"/>
          <w:sz w:val="21"/>
          <w:szCs w:val="21"/>
          <w:highlight w:val="none"/>
          <w:lang w:eastAsia="zh-CN"/>
        </w:rPr>
        <w:t>。</w:t>
      </w:r>
    </w:p>
    <w:p w14:paraId="6307D9AE">
      <w:pPr>
        <w:spacing w:line="360" w:lineRule="auto"/>
        <w:ind w:left="42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超出期限未完成不符合项纠正措施的项目，可不批准认证、再认证、扩大/缩小认证。</w:t>
      </w:r>
    </w:p>
    <w:p w14:paraId="09D2F82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h)审核组提交的审核报告符合，审核组提供的信息足以确定认证要求的满足情况和认证范围，能够支持做出认证决定。</w:t>
      </w:r>
    </w:p>
    <w:p w14:paraId="408D151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超出6个月的初次认证审核项目不批准，可建议</w:t>
      </w:r>
      <w:r>
        <w:rPr>
          <w:rFonts w:hint="eastAsia" w:ascii="宋体" w:hAnsi="宋体" w:eastAsia="宋体" w:cs="宋体"/>
          <w:color w:val="auto"/>
          <w:sz w:val="21"/>
          <w:szCs w:val="21"/>
          <w:highlight w:val="none"/>
          <w:lang w:eastAsia="zh-CN"/>
        </w:rPr>
        <w:t>运营部</w:t>
      </w:r>
      <w:r>
        <w:rPr>
          <w:rFonts w:hint="eastAsia" w:ascii="宋体" w:hAnsi="宋体" w:eastAsia="宋体" w:cs="宋体"/>
          <w:color w:val="auto"/>
          <w:sz w:val="21"/>
          <w:szCs w:val="21"/>
          <w:highlight w:val="none"/>
        </w:rPr>
        <w:t>重新安排审核。</w:t>
      </w:r>
    </w:p>
    <w:p w14:paraId="108E0202">
      <w:pPr>
        <w:keepNext w:val="0"/>
        <w:keepLines w:val="0"/>
        <w:pageBreakBefore w:val="0"/>
        <w:kinsoku/>
        <w:wordWrap/>
        <w:overflowPunct/>
        <w:bidi w:val="0"/>
        <w:snapToGrid/>
        <w:spacing w:line="324"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审核组审核结论为不推荐认证注册，技委会经过资料审查认为可以注册的，技委会必须提出充足的理由支持该认证决定，并报技委会主任批准。</w:t>
      </w:r>
    </w:p>
    <w:p w14:paraId="082EA305">
      <w:pPr>
        <w:keepNext w:val="0"/>
        <w:keepLines w:val="0"/>
        <w:pageBreakBefore w:val="0"/>
        <w:kinsoku/>
        <w:wordWrap/>
        <w:overflowPunct/>
        <w:bidi w:val="0"/>
        <w:snapToGrid/>
        <w:spacing w:line="324"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 保持注册的条件:</w:t>
      </w:r>
    </w:p>
    <w:p w14:paraId="6438D3B6">
      <w:pPr>
        <w:keepNext w:val="0"/>
        <w:keepLines w:val="0"/>
        <w:pageBreakBefore w:val="0"/>
        <w:kinsoku/>
        <w:wordWrap/>
        <w:overflowPunct/>
        <w:bidi w:val="0"/>
        <w:snapToGrid/>
        <w:spacing w:line="324"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获证的组织要按认证收费规定按时交纳有关认证费用a) 按《证后审核及管理程序》规定的周期接受例行监督监督审核，二次审核的间隔未超过 12个月；证书到期前 2个月接受再认证审核；接受非例行监督审核/认可机构的稽查/见证评审；</w:t>
      </w:r>
    </w:p>
    <w:p w14:paraId="2EABD83C">
      <w:pPr>
        <w:numPr>
          <w:ilvl w:val="0"/>
          <w:numId w:val="5"/>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获证方的体系运行良好，不存在可能导致暂停或撤销的不符合或其他情况，特别是有变更时；</w:t>
      </w:r>
    </w:p>
    <w:p w14:paraId="2F85C483">
      <w:pPr>
        <w:numPr>
          <w:ilvl w:val="0"/>
          <w:numId w:val="5"/>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获证方对上次审核的所有不符合采取的纠正措施有效实施；</w:t>
      </w:r>
    </w:p>
    <w:p w14:paraId="29C959AA">
      <w:pPr>
        <w:numPr>
          <w:ilvl w:val="0"/>
          <w:numId w:val="5"/>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获证方体系覆盖的产品和服务涉及法律法规规定的，持续符合相关规定；</w:t>
      </w:r>
    </w:p>
    <w:p w14:paraId="5D13C8F8">
      <w:pPr>
        <w:numPr>
          <w:ilvl w:val="0"/>
          <w:numId w:val="5"/>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获证方及时接受和处理投诉；</w:t>
      </w:r>
    </w:p>
    <w:p w14:paraId="0B056AB4">
      <w:pPr>
        <w:numPr>
          <w:ilvl w:val="0"/>
          <w:numId w:val="5"/>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获证方针对体系运行中发现的问题或投诉，及时制定并实施了有效的改进措施；</w:t>
      </w:r>
    </w:p>
    <w:p w14:paraId="1D40DC2B">
      <w:pPr>
        <w:numPr>
          <w:ilvl w:val="0"/>
          <w:numId w:val="5"/>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获证方内部审核和管理评审规范有效；</w:t>
      </w:r>
    </w:p>
    <w:p w14:paraId="1ADB7C91">
      <w:pPr>
        <w:numPr>
          <w:ilvl w:val="0"/>
          <w:numId w:val="5"/>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获证方对认证标志的使用或对认证资格的引用符合规定要求；</w:t>
      </w:r>
    </w:p>
    <w:p w14:paraId="218F54F3">
      <w:pPr>
        <w:numPr>
          <w:ilvl w:val="0"/>
          <w:numId w:val="5"/>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管理体系在实现或者客户目标的各管理体系的预期结果方面的有效性。如质量目标及质量绩效信息；质量目标及绩效没有实现的，获证组织是否及时调查并采取了改进措施；</w:t>
      </w:r>
    </w:p>
    <w:p w14:paraId="540AF3A2">
      <w:pPr>
        <w:numPr>
          <w:ilvl w:val="0"/>
          <w:numId w:val="5"/>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产品实物质量稳定，无顾客重大投诉，未发生重大质量安全事故/未发生重大环境污染或污染物严重超标(EMS)/未发生重大安全事故(OHSAS) /食品安全卫生事故。</w:t>
      </w:r>
    </w:p>
    <w:p w14:paraId="239CFF8E">
      <w:pPr>
        <w:numPr>
          <w:ilvl w:val="0"/>
          <w:numId w:val="5"/>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获证的组织要按认证收费规定按时交纳有关认证费用。</w:t>
      </w:r>
    </w:p>
    <w:p w14:paraId="42A06EEA">
      <w:pPr>
        <w:keepNext w:val="0"/>
        <w:keepLines w:val="0"/>
        <w:pageBreakBefore w:val="0"/>
        <w:kinsoku/>
        <w:wordWrap/>
        <w:overflowPunct/>
        <w:bidi w:val="0"/>
        <w:snapToGrid/>
        <w:spacing w:line="324"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更新注册证书</w:t>
      </w:r>
    </w:p>
    <w:p w14:paraId="3E25A154">
      <w:pPr>
        <w:keepNext w:val="0"/>
        <w:keepLines w:val="0"/>
        <w:pageBreakBefore w:val="0"/>
        <w:kinsoku/>
        <w:wordWrap/>
        <w:overflowPunct/>
        <w:bidi w:val="0"/>
        <w:snapToGrid/>
        <w:spacing w:line="324"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获证组织由于某种原因，变更注册商号、注册地址、办公经营场所地址的，可向我司提出更新注册认证证书的申请。</w:t>
      </w:r>
    </w:p>
    <w:p w14:paraId="5032106C">
      <w:pPr>
        <w:pStyle w:val="16"/>
        <w:keepNext w:val="0"/>
        <w:keepLines w:val="0"/>
        <w:pageBreakBefore w:val="0"/>
        <w:kinsoku/>
        <w:wordWrap/>
        <w:overflowPunct/>
        <w:autoSpaceDE/>
        <w:autoSpaceDN/>
        <w:bidi w:val="0"/>
        <w:snapToGrid/>
        <w:spacing w:line="324"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认证证书持有者变更；</w:t>
      </w:r>
    </w:p>
    <w:p w14:paraId="69A7801D">
      <w:pPr>
        <w:pStyle w:val="16"/>
        <w:keepNext w:val="0"/>
        <w:keepLines w:val="0"/>
        <w:pageBreakBefore w:val="0"/>
        <w:numPr>
          <w:ilvl w:val="0"/>
          <w:numId w:val="6"/>
        </w:numPr>
        <w:kinsoku/>
        <w:wordWrap/>
        <w:overflowPunct/>
        <w:autoSpaceDE/>
        <w:autoSpaceDN/>
        <w:bidi w:val="0"/>
        <w:snapToGrid/>
        <w:spacing w:line="324"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扩大或缩小认证范围；</w:t>
      </w:r>
    </w:p>
    <w:p w14:paraId="1DB6D633">
      <w:pPr>
        <w:pStyle w:val="16"/>
        <w:keepNext w:val="0"/>
        <w:keepLines w:val="0"/>
        <w:pageBreakBefore w:val="0"/>
        <w:kinsoku/>
        <w:wordWrap/>
        <w:overflowPunct/>
        <w:autoSpaceDE/>
        <w:autoSpaceDN/>
        <w:bidi w:val="0"/>
        <w:snapToGrid/>
        <w:spacing w:line="324"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 企业所在地变更； </w:t>
      </w:r>
    </w:p>
    <w:p w14:paraId="3239812D">
      <w:pPr>
        <w:pStyle w:val="16"/>
        <w:keepNext w:val="0"/>
        <w:keepLines w:val="0"/>
        <w:pageBreakBefore w:val="0"/>
        <w:kinsoku/>
        <w:wordWrap/>
        <w:overflowPunct/>
        <w:autoSpaceDE/>
        <w:autoSpaceDN/>
        <w:bidi w:val="0"/>
        <w:snapToGrid/>
        <w:spacing w:line="324"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认证依据的标准改变或换版；</w:t>
      </w:r>
    </w:p>
    <w:p w14:paraId="49CBCE6E">
      <w:pPr>
        <w:pStyle w:val="16"/>
        <w:keepNext w:val="0"/>
        <w:keepLines w:val="0"/>
        <w:pageBreakBefore w:val="0"/>
        <w:numPr>
          <w:ilvl w:val="0"/>
          <w:numId w:val="7"/>
        </w:numPr>
        <w:kinsoku/>
        <w:wordWrap/>
        <w:overflowPunct/>
        <w:autoSpaceDE/>
        <w:autoSpaceDN/>
        <w:bidi w:val="0"/>
        <w:snapToGrid/>
        <w:spacing w:line="324"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获证方资质变更、名称变更等；</w:t>
      </w:r>
    </w:p>
    <w:p w14:paraId="78D35EA6">
      <w:pPr>
        <w:keepNext w:val="0"/>
        <w:keepLines w:val="0"/>
        <w:pageBreakBefore w:val="0"/>
        <w:numPr>
          <w:ilvl w:val="0"/>
          <w:numId w:val="7"/>
        </w:numPr>
        <w:kinsoku/>
        <w:wordWrap/>
        <w:overflowPunct/>
        <w:bidi w:val="0"/>
        <w:snapToGrid/>
        <w:spacing w:line="324" w:lineRule="auto"/>
        <w:ind w:left="780" w:leftChars="0" w:hanging="360"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其它需变更情况。</w:t>
      </w:r>
    </w:p>
    <w:p w14:paraId="3B966542">
      <w:pPr>
        <w:keepNext w:val="0"/>
        <w:keepLines w:val="0"/>
        <w:pageBreakBefore w:val="0"/>
        <w:kinsoku/>
        <w:wordWrap/>
        <w:overflowPunct/>
        <w:bidi w:val="0"/>
        <w:snapToGrid/>
        <w:spacing w:line="324"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 xml:space="preserve"> 扩大认证范围</w:t>
      </w:r>
    </w:p>
    <w:p w14:paraId="3872EB0C">
      <w:pPr>
        <w:keepNext w:val="0"/>
        <w:keepLines w:val="0"/>
        <w:pageBreakBefore w:val="0"/>
        <w:kinsoku/>
        <w:wordWrap/>
        <w:overflowPunct/>
        <w:bidi w:val="0"/>
        <w:snapToGrid/>
        <w:spacing w:line="324"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.1 组织预扩大认证范围时，应向我司提出申请，明确扩大范围补充必要的信息。</w:t>
      </w:r>
    </w:p>
    <w:p w14:paraId="07843DAA">
      <w:pPr>
        <w:keepNext w:val="0"/>
        <w:keepLines w:val="0"/>
        <w:pageBreakBefore w:val="0"/>
        <w:kinsoku/>
        <w:wordWrap/>
        <w:overflowPunct/>
        <w:bidi w:val="0"/>
        <w:snapToGrid/>
        <w:spacing w:line="324"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.2 获证组织扩大认证范围时，应将有关的体系文件同申请书一起提交。</w:t>
      </w:r>
    </w:p>
    <w:p w14:paraId="51AD588F">
      <w:pPr>
        <w:keepNext w:val="0"/>
        <w:keepLines w:val="0"/>
        <w:pageBreakBefore w:val="0"/>
        <w:kinsoku/>
        <w:wordWrap/>
        <w:overflowPunct/>
        <w:bidi w:val="0"/>
        <w:snapToGrid/>
        <w:spacing w:line="324"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.3 我司对获证组织拟扩大认证范围的申请进行评审，满足要求时，签订补充协议。</w:t>
      </w:r>
    </w:p>
    <w:p w14:paraId="541C4349">
      <w:pPr>
        <w:keepNext w:val="0"/>
        <w:keepLines w:val="0"/>
        <w:pageBreakBefore w:val="0"/>
        <w:kinsoku/>
        <w:wordWrap/>
        <w:overflowPunct/>
        <w:bidi w:val="0"/>
        <w:snapToGrid/>
        <w:spacing w:line="324"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 xml:space="preserve">.4 </w:t>
      </w:r>
      <w:r>
        <w:rPr>
          <w:rFonts w:hint="eastAsia" w:ascii="宋体" w:hAnsi="宋体" w:eastAsia="宋体" w:cs="宋体"/>
          <w:color w:val="auto"/>
          <w:sz w:val="21"/>
          <w:szCs w:val="21"/>
          <w:highlight w:val="none"/>
          <w:lang w:eastAsia="zh-CN"/>
        </w:rPr>
        <w:t>技术部</w:t>
      </w:r>
      <w:r>
        <w:rPr>
          <w:rFonts w:hint="eastAsia" w:ascii="宋体" w:hAnsi="宋体" w:eastAsia="宋体" w:cs="宋体"/>
          <w:color w:val="auto"/>
          <w:sz w:val="21"/>
          <w:szCs w:val="21"/>
          <w:highlight w:val="none"/>
        </w:rPr>
        <w:t>根据合同评审的信息安排审核组对其进行现场审核，该审核可以与监督审核或再认证审核一并进行。</w:t>
      </w:r>
    </w:p>
    <w:p w14:paraId="23EA69CC">
      <w:pPr>
        <w:keepNext w:val="0"/>
        <w:keepLines w:val="0"/>
        <w:pageBreakBefore w:val="0"/>
        <w:kinsoku/>
        <w:wordWrap/>
        <w:overflowPunct/>
        <w:bidi w:val="0"/>
        <w:snapToGrid/>
        <w:spacing w:line="324"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.5 扩大认证范围的结论应在报告中做重点描述，并最终报技术委员会做审议，批准后换发认证证书，并报认可委备案。</w:t>
      </w:r>
    </w:p>
    <w:p w14:paraId="08EB97D0">
      <w:pPr>
        <w:keepNext w:val="0"/>
        <w:keepLines w:val="0"/>
        <w:pageBreakBefore w:val="0"/>
        <w:kinsoku/>
        <w:wordWrap/>
        <w:overflowPunct/>
        <w:bidi w:val="0"/>
        <w:snapToGrid/>
        <w:spacing w:line="324"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 xml:space="preserve"> 缩小认证范围</w:t>
      </w:r>
    </w:p>
    <w:p w14:paraId="236A9B9A">
      <w:pPr>
        <w:keepNext w:val="0"/>
        <w:keepLines w:val="0"/>
        <w:pageBreakBefore w:val="0"/>
        <w:kinsoku/>
        <w:wordWrap/>
        <w:overflowPunct/>
        <w:bidi w:val="0"/>
        <w:snapToGrid/>
        <w:spacing w:line="324"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获证组织由于某种原因，例如：出现严重不符合项不能按期采取纠正措施，应缩小其认证范围。获证组织拟缩小认证范围时，应及时向我司提交书面报告，说明缩小的原因，我司接到报告后，报技委会最终审议批准。</w:t>
      </w:r>
    </w:p>
    <w:p w14:paraId="6D111E32">
      <w:pPr>
        <w:keepNext w:val="0"/>
        <w:keepLines w:val="0"/>
        <w:pageBreakBefore w:val="0"/>
        <w:kinsoku/>
        <w:wordWrap/>
        <w:overflowPunct/>
        <w:bidi w:val="0"/>
        <w:snapToGrid/>
        <w:spacing w:line="324"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在监督审核时，当出现：</w:t>
      </w:r>
    </w:p>
    <w:p w14:paraId="1E583047">
      <w:pPr>
        <w:keepNext w:val="0"/>
        <w:keepLines w:val="0"/>
        <w:pageBreakBefore w:val="0"/>
        <w:kinsoku/>
        <w:wordWrap/>
        <w:overflowPunct/>
        <w:bidi w:val="0"/>
        <w:snapToGrid/>
        <w:spacing w:line="324"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 受审核方的审核范围与认证证书表示的认证范围不符；</w:t>
      </w:r>
    </w:p>
    <w:p w14:paraId="73E6AC77">
      <w:pPr>
        <w:keepNext w:val="0"/>
        <w:keepLines w:val="0"/>
        <w:pageBreakBefore w:val="0"/>
        <w:kinsoku/>
        <w:wordWrap/>
        <w:overflowPunct/>
        <w:bidi w:val="0"/>
        <w:snapToGrid/>
        <w:spacing w:line="324"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 审核计划中规定的部分审核范围没有生产工作现场无法提供体系运行的证据；</w:t>
      </w:r>
    </w:p>
    <w:p w14:paraId="39E09E29">
      <w:pPr>
        <w:keepNext w:val="0"/>
        <w:keepLines w:val="0"/>
        <w:pageBreakBefore w:val="0"/>
        <w:kinsoku/>
        <w:wordWrap/>
        <w:overflowPunct/>
        <w:bidi w:val="0"/>
        <w:snapToGrid/>
        <w:spacing w:line="324"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我司技委会确认并做出审议后，予以更换认证证书，并报认可委备案。</w:t>
      </w:r>
    </w:p>
    <w:p w14:paraId="17101200">
      <w:pPr>
        <w:keepNext w:val="0"/>
        <w:keepLines w:val="0"/>
        <w:pageBreakBefore w:val="0"/>
        <w:kinsoku/>
        <w:wordWrap/>
        <w:overflowPunct/>
        <w:bidi w:val="0"/>
        <w:snapToGrid/>
        <w:spacing w:line="324"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 xml:space="preserve"> 暂停注册条件</w:t>
      </w:r>
    </w:p>
    <w:p w14:paraId="3AFA9B3E">
      <w:pPr>
        <w:keepNext w:val="0"/>
        <w:keepLines w:val="0"/>
        <w:pageBreakBefore w:val="0"/>
        <w:kinsoku/>
        <w:wordWrap/>
        <w:overflowPunct/>
        <w:bidi w:val="0"/>
        <w:snapToGrid/>
        <w:spacing w:line="324"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下列情况之一时，我司将在在调查核实后的 5个工作日内暂停获证组织的注册资格：</w:t>
      </w:r>
    </w:p>
    <w:p w14:paraId="609C23E4">
      <w:pPr>
        <w:numPr>
          <w:ilvl w:val="0"/>
          <w:numId w:val="8"/>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管理体系持续或严重不满足认证要求的，包括管理体系文件与实际业务运作严重脱离； </w:t>
      </w:r>
    </w:p>
    <w:p w14:paraId="06D35AB7">
      <w:pPr>
        <w:numPr>
          <w:ilvl w:val="0"/>
          <w:numId w:val="8"/>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不满足管理体系适用的法律法规要求，且未采取有效纠正措施的； </w:t>
      </w:r>
    </w:p>
    <w:p w14:paraId="168CDB81">
      <w:pPr>
        <w:numPr>
          <w:ilvl w:val="0"/>
          <w:numId w:val="8"/>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监督或抽查发现获证组织管理体系运行不理想，达不到认证要求，如获证组织的管理体系不符合认证依据或相关产品不符合执行标准要求，不需要立即撤销认证证书的；</w:t>
      </w:r>
    </w:p>
    <w:p w14:paraId="4FDD2856">
      <w:pPr>
        <w:numPr>
          <w:ilvl w:val="0"/>
          <w:numId w:val="8"/>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受到与质量、环境、职业健康安全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能源、信息安全、信息技术服务</w:t>
      </w:r>
      <w:r>
        <w:rPr>
          <w:rFonts w:hint="eastAsia" w:ascii="宋体" w:hAnsi="宋体" w:eastAsia="宋体" w:cs="宋体"/>
          <w:color w:val="auto"/>
          <w:sz w:val="21"/>
          <w:szCs w:val="21"/>
          <w:highlight w:val="none"/>
        </w:rPr>
        <w:t xml:space="preserve">等管理体系相关的行政处罚，且尚未完成整改的； </w:t>
      </w:r>
    </w:p>
    <w:p w14:paraId="5E92824A">
      <w:pPr>
        <w:numPr>
          <w:ilvl w:val="0"/>
          <w:numId w:val="8"/>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拒绝配合市场监管部门的认证执法监督检查，或者提供虚假材料或信息的；</w:t>
      </w:r>
    </w:p>
    <w:p w14:paraId="68A9554C">
      <w:pPr>
        <w:numPr>
          <w:ilvl w:val="0"/>
          <w:numId w:val="8"/>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持有的行政许可证明、资质证书、强制性认证证书等过期失效，重新提交的申请已被受理但尚未换证的； </w:t>
      </w:r>
    </w:p>
    <w:p w14:paraId="2F24EAC6">
      <w:pPr>
        <w:numPr>
          <w:ilvl w:val="0"/>
          <w:numId w:val="8"/>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未按相关规定正确引用和宣传获得的认证证书和有关信息，包括认证证书和认证标志的使用； </w:t>
      </w:r>
    </w:p>
    <w:p w14:paraId="5026D63A">
      <w:pPr>
        <w:numPr>
          <w:ilvl w:val="0"/>
          <w:numId w:val="8"/>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出现重大质量/环境/安全/食品安全事故，有严重违反法规情况发生的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反映获证组织的管理体系运行存在重大缺陷的</w:t>
      </w:r>
      <w:r>
        <w:rPr>
          <w:rFonts w:hint="eastAsia" w:ascii="宋体" w:hAnsi="宋体" w:eastAsia="宋体" w:cs="宋体"/>
          <w:color w:val="auto"/>
          <w:sz w:val="21"/>
          <w:szCs w:val="21"/>
          <w:highlight w:val="none"/>
        </w:rPr>
        <w:t>；</w:t>
      </w:r>
    </w:p>
    <w:p w14:paraId="3EB0188D">
      <w:pPr>
        <w:numPr>
          <w:ilvl w:val="0"/>
          <w:numId w:val="8"/>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被有关执法监管部门责令停业整顿的；</w:t>
      </w:r>
    </w:p>
    <w:p w14:paraId="65B89842">
      <w:pPr>
        <w:numPr>
          <w:ilvl w:val="0"/>
          <w:numId w:val="8"/>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获证组织重组、物理地址变动导致获证组织人力资源、基础设施、组织机构、管理体系过程模式、经营状况发生变更/重大本质性变更，且不能在一个月内接受审核；</w:t>
      </w:r>
    </w:p>
    <w:p w14:paraId="64D1857D">
      <w:pPr>
        <w:numPr>
          <w:ilvl w:val="0"/>
          <w:numId w:val="8"/>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持有的与管理体系范围有关的行政许可证明、资质证书、强制性认证证书等过期失效，重新提交的申请已被受理但尚未换证的；</w:t>
      </w:r>
    </w:p>
    <w:p w14:paraId="6AA7A8C1">
      <w:pPr>
        <w:numPr>
          <w:ilvl w:val="0"/>
          <w:numId w:val="8"/>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媒体/相关方重大投诉、曝光；</w:t>
      </w:r>
    </w:p>
    <w:p w14:paraId="40A7148C">
      <w:pPr>
        <w:numPr>
          <w:ilvl w:val="0"/>
          <w:numId w:val="8"/>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未按时交纳认证费用等不承担、履行认证合同约定责任和义务的；</w:t>
      </w:r>
    </w:p>
    <w:p w14:paraId="28C3EC64">
      <w:pPr>
        <w:numPr>
          <w:ilvl w:val="0"/>
          <w:numId w:val="8"/>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对于不能按规定的期限内，完成不符合项纠正措施的；</w:t>
      </w:r>
    </w:p>
    <w:p w14:paraId="6329B8C8">
      <w:pPr>
        <w:numPr>
          <w:ilvl w:val="0"/>
          <w:numId w:val="8"/>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未按要求进行信息通报的；</w:t>
      </w:r>
    </w:p>
    <w:p w14:paraId="67308B0B">
      <w:pPr>
        <w:numPr>
          <w:ilvl w:val="0"/>
          <w:numId w:val="8"/>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未能接受周期性监督审核（两次审核间隔不超 12 个月）或</w:t>
      </w:r>
      <w:r>
        <w:rPr>
          <w:rFonts w:hint="eastAsia" w:ascii="宋体" w:hAnsi="宋体" w:eastAsia="宋体" w:cs="宋体"/>
          <w:color w:val="auto"/>
          <w:sz w:val="21"/>
          <w:szCs w:val="21"/>
          <w:highlight w:val="none"/>
          <w:lang w:val="en-US" w:eastAsia="zh-CN"/>
        </w:rPr>
        <w:t>CHRZ</w:t>
      </w:r>
      <w:r>
        <w:rPr>
          <w:rFonts w:hint="eastAsia" w:ascii="宋体" w:hAnsi="宋体" w:eastAsia="宋体" w:cs="宋体"/>
          <w:color w:val="auto"/>
          <w:sz w:val="21"/>
          <w:szCs w:val="21"/>
          <w:highlight w:val="none"/>
        </w:rPr>
        <w:t>安排的其他特殊情况的审核（如针对产品抽查不合格一个月内需进行的监督）</w:t>
      </w:r>
    </w:p>
    <w:p w14:paraId="71607293">
      <w:pPr>
        <w:numPr>
          <w:ilvl w:val="0"/>
          <w:numId w:val="8"/>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获证组织被市场监督管理部门抽查发现影响食品安全的不合格情况，尚不需要立即撤销认证证书的；</w:t>
      </w:r>
    </w:p>
    <w:p w14:paraId="53F25FA3">
      <w:pPr>
        <w:numPr>
          <w:ilvl w:val="0"/>
          <w:numId w:val="8"/>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获证组织无正当理由连续两次不接受不通知现场审核的；</w:t>
      </w:r>
    </w:p>
    <w:p w14:paraId="7D2EB020">
      <w:pPr>
        <w:numPr>
          <w:ilvl w:val="0"/>
          <w:numId w:val="8"/>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不承担、履行认证合同约定的责任和义务的； </w:t>
      </w:r>
    </w:p>
    <w:p w14:paraId="0909B5D2">
      <w:pPr>
        <w:numPr>
          <w:ilvl w:val="0"/>
          <w:numId w:val="8"/>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发生与质量</w:t>
      </w:r>
      <w:r>
        <w:rPr>
          <w:rFonts w:hint="eastAsia" w:ascii="宋体" w:hAnsi="宋体" w:eastAsia="宋体" w:cs="宋体"/>
          <w:color w:val="auto"/>
          <w:sz w:val="21"/>
          <w:szCs w:val="21"/>
          <w:highlight w:val="none"/>
          <w:lang w:val="en-US" w:eastAsia="zh-CN"/>
        </w:rPr>
        <w:t>/环境/OH&amp;S</w:t>
      </w:r>
      <w:r>
        <w:rPr>
          <w:rFonts w:hint="eastAsia" w:ascii="宋体" w:hAnsi="宋体" w:eastAsia="宋体" w:cs="宋体"/>
          <w:color w:val="auto"/>
          <w:sz w:val="21"/>
          <w:szCs w:val="21"/>
          <w:highlight w:val="none"/>
        </w:rPr>
        <w:t xml:space="preserve">相关重大舆情的； </w:t>
      </w:r>
    </w:p>
    <w:p w14:paraId="6D5C10D3">
      <w:pPr>
        <w:numPr>
          <w:ilvl w:val="0"/>
          <w:numId w:val="8"/>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主动请求暂停的； </w:t>
      </w:r>
    </w:p>
    <w:p w14:paraId="00186CE8">
      <w:pPr>
        <w:numPr>
          <w:ilvl w:val="0"/>
          <w:numId w:val="8"/>
        </w:numPr>
        <w:tabs>
          <w:tab w:val="left" w:pos="687"/>
        </w:tabs>
        <w:spacing w:line="360" w:lineRule="auto"/>
        <w:ind w:left="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其他需要暂停认证注册资格的情况</w:t>
      </w:r>
    </w:p>
    <w:p w14:paraId="21626771">
      <w:pPr>
        <w:keepNext w:val="0"/>
        <w:keepLines w:val="0"/>
        <w:pageBreakBefore w:val="0"/>
        <w:kinsoku/>
        <w:wordWrap/>
        <w:overflowPunct/>
        <w:bidi w:val="0"/>
        <w:snapToGrid/>
        <w:spacing w:line="324"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暂停期限</w:t>
      </w:r>
      <w:r>
        <w:rPr>
          <w:rFonts w:hint="eastAsia" w:ascii="宋体" w:hAnsi="宋体" w:eastAsia="宋体" w:cs="宋体"/>
          <w:color w:val="auto"/>
          <w:sz w:val="21"/>
          <w:szCs w:val="21"/>
          <w:highlight w:val="none"/>
          <w:lang w:val="en-US" w:eastAsia="zh-CN"/>
        </w:rPr>
        <w:t>一般为六</w:t>
      </w:r>
      <w:r>
        <w:rPr>
          <w:rFonts w:hint="eastAsia" w:ascii="宋体" w:hAnsi="宋体" w:eastAsia="宋体" w:cs="宋体"/>
          <w:color w:val="auto"/>
          <w:sz w:val="21"/>
          <w:szCs w:val="21"/>
          <w:highlight w:val="none"/>
        </w:rPr>
        <w:t>个月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对于持有的行政许可证明、资质证书、强制性认证证书等过期失效，重新提交的申请已被受理但尚未换证的企业，暂停期可延长至相关单位做出许可决定之日经我司认证决定最终审定后向获证组织发出书面通知，并报认可委备案及予以公告。</w:t>
      </w:r>
    </w:p>
    <w:p w14:paraId="69E8804F">
      <w:pPr>
        <w:keepNext w:val="0"/>
        <w:keepLines w:val="0"/>
        <w:pageBreakBefore w:val="0"/>
        <w:kinsoku/>
        <w:wordWrap/>
        <w:overflowPunct/>
        <w:bidi w:val="0"/>
        <w:snapToGrid/>
        <w:spacing w:line="324"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 xml:space="preserve"> 撤销注册条件</w:t>
      </w:r>
    </w:p>
    <w:p w14:paraId="77592F53">
      <w:pPr>
        <w:tabs>
          <w:tab w:val="left" w:pos="527"/>
        </w:tabs>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 获证客户有下列情况之一的，将被撤销认证注册资格：</w:t>
      </w:r>
    </w:p>
    <w:p w14:paraId="6441A048">
      <w:pPr>
        <w:pStyle w:val="71"/>
        <w:numPr>
          <w:ilvl w:val="0"/>
          <w:numId w:val="0"/>
        </w:num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a)</w:t>
      </w:r>
      <w:r>
        <w:rPr>
          <w:rFonts w:hint="eastAsia" w:ascii="宋体" w:hAnsi="宋体" w:eastAsia="宋体" w:cs="宋体"/>
          <w:color w:val="auto"/>
          <w:sz w:val="21"/>
          <w:szCs w:val="21"/>
          <w:highlight w:val="none"/>
        </w:rPr>
        <w:t>被注销或撤销法律地位证明文件的；</w:t>
      </w:r>
    </w:p>
    <w:p w14:paraId="38301360">
      <w:pPr>
        <w:pStyle w:val="71"/>
        <w:numPr>
          <w:ilvl w:val="0"/>
          <w:numId w:val="0"/>
        </w:num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b)</w:t>
      </w:r>
      <w:r>
        <w:rPr>
          <w:rFonts w:hint="eastAsia" w:ascii="宋体" w:hAnsi="宋体" w:eastAsia="宋体" w:cs="宋体"/>
          <w:color w:val="auto"/>
          <w:sz w:val="21"/>
          <w:szCs w:val="21"/>
          <w:highlight w:val="none"/>
        </w:rPr>
        <w:t>被“国家企业信用信息公示系统”和“信用中国”列入严重违法失信名单的</w:t>
      </w:r>
      <w:r>
        <w:rPr>
          <w:rFonts w:hint="eastAsia" w:ascii="宋体" w:hAnsi="宋体" w:eastAsia="宋体" w:cs="宋体"/>
          <w:color w:val="auto"/>
          <w:sz w:val="21"/>
          <w:szCs w:val="21"/>
          <w:highlight w:val="none"/>
          <w:lang w:val="en-US" w:eastAsia="zh-CN"/>
        </w:rPr>
        <w:t>,或被应急管理部门列入安全生产严重违法失信主体名单的</w:t>
      </w:r>
      <w:r>
        <w:rPr>
          <w:rFonts w:hint="eastAsia" w:ascii="宋体" w:hAnsi="宋体" w:eastAsia="宋体" w:cs="宋体"/>
          <w:color w:val="auto"/>
          <w:sz w:val="21"/>
          <w:szCs w:val="21"/>
          <w:highlight w:val="none"/>
        </w:rPr>
        <w:t>；</w:t>
      </w:r>
    </w:p>
    <w:p w14:paraId="29A7D301">
      <w:pPr>
        <w:pStyle w:val="71"/>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c</w:t>
      </w:r>
      <w:r>
        <w:rPr>
          <w:rFonts w:hint="eastAsia" w:ascii="宋体" w:hAnsi="宋体" w:eastAsia="宋体" w:cs="宋体"/>
          <w:color w:val="auto"/>
          <w:sz w:val="21"/>
          <w:szCs w:val="21"/>
          <w:highlight w:val="none"/>
        </w:rPr>
        <w:t>)暂停认证证书的期限已满但导致暂停的问题未得到解决或纠正的（包括持有的行政许可证明、资质证书、强制性认证证书等已经过期失效但申请未获批准）；</w:t>
      </w:r>
    </w:p>
    <w:p w14:paraId="634A6349">
      <w:pPr>
        <w:pStyle w:val="71"/>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d</w:t>
      </w:r>
      <w:r>
        <w:rPr>
          <w:rFonts w:hint="eastAsia" w:ascii="宋体" w:hAnsi="宋体" w:eastAsia="宋体" w:cs="宋体"/>
          <w:color w:val="auto"/>
          <w:sz w:val="21"/>
          <w:szCs w:val="21"/>
          <w:highlight w:val="none"/>
        </w:rPr>
        <w:t>)出现重大的产品或服务等质量、环境、安全事故，经执法监管部门确认是客户违规造成的；</w:t>
      </w:r>
    </w:p>
    <w:p w14:paraId="37AE95F9">
      <w:pPr>
        <w:pStyle w:val="71"/>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e</w:t>
      </w:r>
      <w:r>
        <w:rPr>
          <w:rFonts w:hint="eastAsia" w:ascii="宋体" w:hAnsi="宋体" w:eastAsia="宋体" w:cs="宋体"/>
          <w:color w:val="auto"/>
          <w:sz w:val="21"/>
          <w:szCs w:val="21"/>
          <w:highlight w:val="none"/>
        </w:rPr>
        <w:t>)没有运行管理体系或者已不具备运行条件的；</w:t>
      </w:r>
    </w:p>
    <w:p w14:paraId="11613D39">
      <w:pPr>
        <w:pStyle w:val="71"/>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f</w:t>
      </w:r>
      <w:r>
        <w:rPr>
          <w:rFonts w:hint="eastAsia" w:ascii="宋体" w:hAnsi="宋体" w:eastAsia="宋体" w:cs="宋体"/>
          <w:color w:val="auto"/>
          <w:sz w:val="21"/>
          <w:szCs w:val="21"/>
          <w:highlight w:val="none"/>
        </w:rPr>
        <w:t>)拒绝配合认证监管部门实施的监督检查，或者对有关事项的询问和调查提供了虚假材料或信息的；</w:t>
      </w:r>
    </w:p>
    <w:p w14:paraId="609067D7">
      <w:pPr>
        <w:pStyle w:val="71"/>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g</w:t>
      </w:r>
      <w:r>
        <w:rPr>
          <w:rFonts w:hint="eastAsia" w:ascii="宋体" w:hAnsi="宋体" w:eastAsia="宋体" w:cs="宋体"/>
          <w:color w:val="auto"/>
          <w:sz w:val="21"/>
          <w:szCs w:val="21"/>
          <w:highlight w:val="none"/>
        </w:rPr>
        <w:t>)有其他严重违反法律法规行为的；</w:t>
      </w:r>
    </w:p>
    <w:p w14:paraId="07E0908E">
      <w:pPr>
        <w:pStyle w:val="71"/>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h</w:t>
      </w:r>
      <w:r>
        <w:rPr>
          <w:rFonts w:hint="eastAsia" w:ascii="宋体" w:hAnsi="宋体" w:eastAsia="宋体" w:cs="宋体"/>
          <w:color w:val="auto"/>
          <w:sz w:val="21"/>
          <w:szCs w:val="21"/>
          <w:highlight w:val="none"/>
        </w:rPr>
        <w:t>)不按相关规定正确参考和宣传获得的认证信息，造成严重影响或后果，或者</w:t>
      </w:r>
      <w:r>
        <w:rPr>
          <w:rFonts w:hint="eastAsia" w:ascii="宋体" w:hAnsi="宋体" w:eastAsia="宋体" w:cs="宋体"/>
          <w:color w:val="auto"/>
          <w:sz w:val="21"/>
          <w:szCs w:val="21"/>
          <w:highlight w:val="none"/>
          <w:lang w:eastAsia="zh-CN"/>
        </w:rPr>
        <w:t>CHRZ</w:t>
      </w:r>
      <w:r>
        <w:rPr>
          <w:rFonts w:hint="eastAsia" w:ascii="宋体" w:hAnsi="宋体" w:eastAsia="宋体" w:cs="宋体"/>
          <w:color w:val="auto"/>
          <w:sz w:val="21"/>
          <w:szCs w:val="21"/>
          <w:highlight w:val="none"/>
        </w:rPr>
        <w:t>已要求其纠正但超过6个月仍未纠正的；</w:t>
      </w:r>
    </w:p>
    <w:p w14:paraId="0122406F">
      <w:pPr>
        <w:pStyle w:val="71"/>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i</w:t>
      </w:r>
      <w:r>
        <w:rPr>
          <w:rFonts w:hint="eastAsia" w:ascii="宋体" w:hAnsi="宋体" w:eastAsia="宋体" w:cs="宋体"/>
          <w:color w:val="auto"/>
          <w:sz w:val="21"/>
          <w:szCs w:val="21"/>
          <w:highlight w:val="none"/>
        </w:rPr>
        <w:t>)其他应当撤销认证证书的（包括发生</w:t>
      </w:r>
      <w:r>
        <w:rPr>
          <w:rFonts w:hint="eastAsia" w:ascii="宋体" w:hAnsi="宋体" w:eastAsia="宋体" w:cs="宋体"/>
          <w:color w:val="auto"/>
          <w:sz w:val="21"/>
          <w:szCs w:val="21"/>
          <w:highlight w:val="none"/>
          <w:lang w:eastAsia="zh-CN"/>
        </w:rPr>
        <w:t>CHRZ</w:t>
      </w:r>
      <w:r>
        <w:rPr>
          <w:rFonts w:hint="eastAsia" w:ascii="宋体" w:hAnsi="宋体" w:eastAsia="宋体" w:cs="宋体"/>
          <w:color w:val="auto"/>
          <w:sz w:val="21"/>
          <w:szCs w:val="21"/>
          <w:highlight w:val="none"/>
        </w:rPr>
        <w:t>与客户之间正式协议中特别规定有关其他构成撤销体系认证资格情况的）。</w:t>
      </w:r>
    </w:p>
    <w:p w14:paraId="20987704">
      <w:pPr>
        <w:keepNext w:val="0"/>
        <w:keepLines w:val="0"/>
        <w:pageBreakBefore w:val="0"/>
        <w:numPr>
          <w:ilvl w:val="0"/>
          <w:numId w:val="0"/>
        </w:numPr>
        <w:kinsoku/>
        <w:wordWrap/>
        <w:overflowPunct/>
        <w:bidi w:val="0"/>
        <w:snapToGrid/>
        <w:spacing w:line="324" w:lineRule="auto"/>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4.8 注销</w:t>
      </w:r>
    </w:p>
    <w:p w14:paraId="409F5868">
      <w:pPr>
        <w:keepNext w:val="0"/>
        <w:keepLines w:val="0"/>
        <w:pageBreakBefore w:val="0"/>
        <w:numPr>
          <w:ilvl w:val="0"/>
          <w:numId w:val="0"/>
        </w:numPr>
        <w:kinsoku/>
        <w:wordWrap/>
        <w:overflowPunct/>
        <w:bidi w:val="0"/>
        <w:snapToGrid/>
        <w:spacing w:line="324" w:lineRule="auto"/>
        <w:ind w:firstLine="420" w:firstLineChars="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当获证方提出主动注销认证证书及认证标志的时候，CHRZ在确认不存在暂停或撤销情形后，对于相应领域管理体系证书予以注销，被CHRZ注销认证注册资格时，CHRZ发出书面通知停止其认证证书和标志的使用，并发布注销公告。被注销认证证书的获证方接到通知后，应立即将认证证书交回CHRZ。</w:t>
      </w:r>
    </w:p>
    <w:p w14:paraId="399A64D2">
      <w:pPr>
        <w:keepNext w:val="0"/>
        <w:keepLines w:val="0"/>
        <w:pageBreakBefore w:val="0"/>
        <w:numPr>
          <w:ilvl w:val="0"/>
          <w:numId w:val="0"/>
        </w:numPr>
        <w:kinsoku/>
        <w:wordWrap/>
        <w:overflowPunct/>
        <w:bidi w:val="0"/>
        <w:snapToGrid/>
        <w:spacing w:line="324" w:lineRule="auto"/>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4.9 撤销</w:t>
      </w:r>
    </w:p>
    <w:p w14:paraId="41F7F389">
      <w:pPr>
        <w:keepNext w:val="0"/>
        <w:keepLines w:val="0"/>
        <w:pageBreakBefore w:val="0"/>
        <w:numPr>
          <w:ilvl w:val="0"/>
          <w:numId w:val="0"/>
        </w:numPr>
        <w:kinsoku/>
        <w:wordWrap/>
        <w:overflowPunct/>
        <w:bidi w:val="0"/>
        <w:snapToGrid/>
        <w:spacing w:line="324" w:lineRule="auto"/>
        <w:ind w:firstLine="420" w:firstLineChars="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获证组织主动申请不再保持认证证书时，认证机构应确认在不存在暂停或撤销情形后，注销其认证证书，并保留相应证据。</w:t>
      </w:r>
    </w:p>
    <w:p w14:paraId="5BE414A8">
      <w:pPr>
        <w:keepNext w:val="0"/>
        <w:keepLines w:val="0"/>
        <w:pageBreakBefore w:val="0"/>
        <w:numPr>
          <w:ilvl w:val="0"/>
          <w:numId w:val="0"/>
        </w:numPr>
        <w:kinsoku/>
        <w:wordWrap/>
        <w:overflowPunct/>
        <w:bidi w:val="0"/>
        <w:snapToGrid/>
        <w:spacing w:line="324" w:lineRule="auto"/>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4.10 恢复</w:t>
      </w:r>
    </w:p>
    <w:p w14:paraId="1DBA3BE2">
      <w:pPr>
        <w:keepNext w:val="0"/>
        <w:keepLines w:val="0"/>
        <w:pageBreakBefore w:val="0"/>
        <w:numPr>
          <w:ilvl w:val="0"/>
          <w:numId w:val="0"/>
        </w:numPr>
        <w:kinsoku/>
        <w:wordWrap/>
        <w:overflowPunct/>
        <w:bidi w:val="0"/>
        <w:snapToGrid/>
        <w:spacing w:line="324" w:lineRule="auto"/>
        <w:ind w:firstLine="420" w:firstLineChars="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如获证组织采取有效的纠正措施，造成暂停的原因已消除的，认证机构应恢复其认证证书，并保留相应证据。</w:t>
      </w:r>
    </w:p>
    <w:p w14:paraId="3E20AA17">
      <w:pPr>
        <w:keepNext w:val="0"/>
        <w:keepLines w:val="0"/>
        <w:pageBreakBefore w:val="0"/>
        <w:numPr>
          <w:ilvl w:val="0"/>
          <w:numId w:val="0"/>
        </w:numPr>
        <w:kinsoku/>
        <w:wordWrap/>
        <w:overflowPunct/>
        <w:bidi w:val="0"/>
        <w:snapToGrid/>
        <w:spacing w:line="324" w:lineRule="auto"/>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w:t>
      </w:r>
      <w:r>
        <w:rPr>
          <w:rFonts w:hint="eastAsia" w:ascii="宋体" w:hAnsi="宋体" w:eastAsia="宋体" w:cs="宋体"/>
          <w:b/>
          <w:color w:val="auto"/>
          <w:sz w:val="21"/>
          <w:szCs w:val="21"/>
          <w:highlight w:val="none"/>
          <w:lang w:eastAsia="zh-CN"/>
        </w:rPr>
        <w:t xml:space="preserve">. </w:t>
      </w:r>
      <w:r>
        <w:rPr>
          <w:rFonts w:hint="eastAsia" w:ascii="宋体" w:hAnsi="宋体" w:eastAsia="宋体" w:cs="宋体"/>
          <w:b/>
          <w:color w:val="auto"/>
          <w:sz w:val="21"/>
          <w:szCs w:val="21"/>
          <w:highlight w:val="none"/>
        </w:rPr>
        <w:t>工作程序</w:t>
      </w:r>
    </w:p>
    <w:p w14:paraId="7F45D6B5">
      <w:pPr>
        <w:keepNext w:val="0"/>
        <w:keepLines w:val="0"/>
        <w:pageBreakBefore w:val="0"/>
        <w:kinsoku/>
        <w:wordWrap/>
        <w:overflowPunct/>
        <w:bidi w:val="0"/>
        <w:snapToGrid/>
        <w:spacing w:line="324"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 批准、保持、更新、扩大、缩小、暂停、撤销和恢复认证程序</w:t>
      </w:r>
    </w:p>
    <w:p w14:paraId="5A1FF014">
      <w:pPr>
        <w:keepNext w:val="0"/>
        <w:keepLines w:val="0"/>
        <w:pageBreakBefore w:val="0"/>
        <w:kinsoku/>
        <w:wordWrap/>
        <w:overflowPunct/>
        <w:bidi w:val="0"/>
        <w:snapToGrid/>
        <w:spacing w:line="324"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5.1.1 </w:t>
      </w:r>
      <w:r>
        <w:rPr>
          <w:rFonts w:hint="eastAsia" w:ascii="宋体" w:hAnsi="宋体" w:eastAsia="宋体" w:cs="宋体"/>
          <w:color w:val="auto"/>
          <w:sz w:val="21"/>
          <w:szCs w:val="21"/>
          <w:highlight w:val="none"/>
          <w:lang w:eastAsia="zh-CN"/>
        </w:rPr>
        <w:t>运营部</w:t>
      </w:r>
      <w:r>
        <w:rPr>
          <w:rFonts w:hint="eastAsia" w:ascii="宋体" w:hAnsi="宋体" w:eastAsia="宋体" w:cs="宋体"/>
          <w:color w:val="auto"/>
          <w:sz w:val="21"/>
          <w:szCs w:val="21"/>
          <w:highlight w:val="none"/>
        </w:rPr>
        <w:t>按每周二、四两次认证决定档期将初审/再认证、监督、扩大、缩小、恢复的认证项目档案和经审核组长确认的认证注册信息提交技术委员会进行认证决定。暂停、撤销的认证决定每周四进行。</w:t>
      </w:r>
    </w:p>
    <w:p w14:paraId="43EC0A89">
      <w:pPr>
        <w:keepNext w:val="0"/>
        <w:keepLines w:val="0"/>
        <w:pageBreakBefore w:val="0"/>
        <w:kinsoku/>
        <w:wordWrap/>
        <w:overflowPunct/>
        <w:bidi w:val="0"/>
        <w:snapToGrid/>
        <w:spacing w:line="324"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5.1.2 监督超期暂停和暂停超期撤销的证书的处理</w:t>
      </w:r>
    </w:p>
    <w:p w14:paraId="6286C72E">
      <w:pPr>
        <w:keepNext w:val="0"/>
        <w:keepLines w:val="0"/>
        <w:pageBreakBefore w:val="0"/>
        <w:kinsoku/>
        <w:wordWrap/>
        <w:overflowPunct/>
        <w:bidi w:val="0"/>
        <w:snapToGrid/>
        <w:spacing w:line="324"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a</w:t>
      </w:r>
      <w:r>
        <w:rPr>
          <w:rFonts w:hint="eastAsia" w:ascii="宋体" w:hAnsi="宋体" w:eastAsia="宋体" w:cs="宋体"/>
          <w:color w:val="auto"/>
          <w:sz w:val="21"/>
          <w:szCs w:val="21"/>
          <w:highlight w:val="none"/>
        </w:rPr>
        <w:t>）每周三将因上述两种需暂停、撤销的证书由</w:t>
      </w:r>
      <w:r>
        <w:rPr>
          <w:rFonts w:hint="eastAsia" w:ascii="宋体" w:hAnsi="宋体" w:eastAsia="宋体" w:cs="宋体"/>
          <w:color w:val="auto"/>
          <w:sz w:val="21"/>
          <w:szCs w:val="21"/>
          <w:highlight w:val="none"/>
          <w:lang w:eastAsia="zh-CN"/>
        </w:rPr>
        <w:t>技术部</w:t>
      </w:r>
      <w:r>
        <w:rPr>
          <w:rFonts w:hint="eastAsia" w:ascii="宋体" w:hAnsi="宋体" w:eastAsia="宋体" w:cs="宋体"/>
          <w:color w:val="auto"/>
          <w:sz w:val="21"/>
          <w:szCs w:val="21"/>
          <w:highlight w:val="none"/>
        </w:rPr>
        <w:t>从系统导出（不含已预报审核计划的项目）于 16：00 前发</w:t>
      </w:r>
      <w:r>
        <w:rPr>
          <w:rFonts w:hint="eastAsia" w:ascii="宋体" w:hAnsi="宋体" w:eastAsia="宋体" w:cs="宋体"/>
          <w:color w:val="auto"/>
          <w:sz w:val="21"/>
          <w:szCs w:val="21"/>
          <w:highlight w:val="none"/>
          <w:lang w:eastAsia="zh-CN"/>
        </w:rPr>
        <w:t>运营部</w:t>
      </w:r>
      <w:r>
        <w:rPr>
          <w:rFonts w:hint="eastAsia" w:ascii="宋体" w:hAnsi="宋体" w:eastAsia="宋体" w:cs="宋体"/>
          <w:color w:val="auto"/>
          <w:sz w:val="21"/>
          <w:szCs w:val="21"/>
          <w:highlight w:val="none"/>
        </w:rPr>
        <w:t>。</w:t>
      </w:r>
    </w:p>
    <w:p w14:paraId="10132CF7">
      <w:pPr>
        <w:keepNext w:val="0"/>
        <w:keepLines w:val="0"/>
        <w:pageBreakBefore w:val="0"/>
        <w:kinsoku/>
        <w:wordWrap/>
        <w:overflowPunct/>
        <w:bidi w:val="0"/>
        <w:snapToGrid/>
        <w:spacing w:line="324"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b</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运营部</w:t>
      </w:r>
      <w:r>
        <w:rPr>
          <w:rFonts w:hint="eastAsia" w:ascii="宋体" w:hAnsi="宋体" w:eastAsia="宋体" w:cs="宋体"/>
          <w:color w:val="auto"/>
          <w:sz w:val="21"/>
          <w:szCs w:val="21"/>
          <w:highlight w:val="none"/>
        </w:rPr>
        <w:t>应在本周四 11：00 前将本周三已发清单核对完毕，如有异议应即时向</w:t>
      </w:r>
      <w:r>
        <w:rPr>
          <w:rFonts w:hint="eastAsia" w:ascii="宋体" w:hAnsi="宋体" w:eastAsia="宋体" w:cs="宋体"/>
          <w:color w:val="auto"/>
          <w:sz w:val="21"/>
          <w:szCs w:val="21"/>
          <w:highlight w:val="none"/>
          <w:lang w:eastAsia="zh-CN"/>
        </w:rPr>
        <w:t>运营部</w:t>
      </w:r>
      <w:r>
        <w:rPr>
          <w:rFonts w:hint="eastAsia" w:ascii="宋体" w:hAnsi="宋体" w:eastAsia="宋体" w:cs="宋体"/>
          <w:color w:val="auto"/>
          <w:sz w:val="21"/>
          <w:szCs w:val="21"/>
          <w:highlight w:val="none"/>
        </w:rPr>
        <w:t>反馈解决，无反馈的视为确认。</w:t>
      </w:r>
    </w:p>
    <w:p w14:paraId="6B1EEB4E">
      <w:pPr>
        <w:keepNext w:val="0"/>
        <w:keepLines w:val="0"/>
        <w:pageBreakBefore w:val="0"/>
        <w:kinsoku/>
        <w:wordWrap/>
        <w:overflowPunct/>
        <w:bidi w:val="0"/>
        <w:snapToGrid/>
        <w:spacing w:line="324"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c</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运营部</w:t>
      </w:r>
      <w:r>
        <w:rPr>
          <w:rFonts w:hint="eastAsia" w:ascii="宋体" w:hAnsi="宋体" w:eastAsia="宋体" w:cs="宋体"/>
          <w:color w:val="auto"/>
          <w:sz w:val="21"/>
          <w:szCs w:val="21"/>
          <w:highlight w:val="none"/>
        </w:rPr>
        <w:t>应于当天（周四）下午填写暂停、撤销认证决定呈批表申报认证决定，并经总经理审批后，交</w:t>
      </w:r>
      <w:r>
        <w:rPr>
          <w:rFonts w:hint="eastAsia" w:ascii="宋体" w:hAnsi="宋体" w:eastAsia="宋体" w:cs="宋体"/>
          <w:color w:val="auto"/>
          <w:sz w:val="21"/>
          <w:szCs w:val="21"/>
          <w:highlight w:val="none"/>
          <w:lang w:eastAsia="zh-CN"/>
        </w:rPr>
        <w:t>技术部</w:t>
      </w:r>
      <w:r>
        <w:rPr>
          <w:rFonts w:hint="eastAsia" w:ascii="宋体" w:hAnsi="宋体" w:eastAsia="宋体" w:cs="宋体"/>
          <w:color w:val="auto"/>
          <w:sz w:val="21"/>
          <w:szCs w:val="21"/>
          <w:highlight w:val="none"/>
        </w:rPr>
        <w:t>修改系统证书状态，修改完毕后</w:t>
      </w:r>
      <w:r>
        <w:rPr>
          <w:rFonts w:hint="eastAsia" w:ascii="宋体" w:hAnsi="宋体" w:eastAsia="宋体" w:cs="宋体"/>
          <w:color w:val="auto"/>
          <w:sz w:val="21"/>
          <w:szCs w:val="21"/>
          <w:highlight w:val="none"/>
          <w:lang w:eastAsia="zh-CN"/>
        </w:rPr>
        <w:t>技术部</w:t>
      </w:r>
      <w:r>
        <w:rPr>
          <w:rFonts w:hint="eastAsia" w:ascii="宋体" w:hAnsi="宋体" w:eastAsia="宋体" w:cs="宋体"/>
          <w:color w:val="auto"/>
          <w:sz w:val="21"/>
          <w:szCs w:val="21"/>
          <w:highlight w:val="none"/>
        </w:rPr>
        <w:t>于当天 18：00 前上报 CNCA</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z w:val="21"/>
          <w:szCs w:val="21"/>
          <w:highlight w:val="none"/>
        </w:rPr>
        <w:t>CCAA暂禁系统，并按管辖发放暂停、撤销通知书。</w:t>
      </w:r>
    </w:p>
    <w:p w14:paraId="153FE676">
      <w:pPr>
        <w:keepNext w:val="0"/>
        <w:keepLines w:val="0"/>
        <w:pageBreakBefore w:val="0"/>
        <w:kinsoku/>
        <w:wordWrap/>
        <w:overflowPunct/>
        <w:bidi w:val="0"/>
        <w:snapToGrid/>
        <w:spacing w:line="324"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5.1.3 技术委员会认证决定一般以会审方式进行或指定具有该大类认证决定资格能力的人员独立完成。根据评审情况做出批准、保持、扩大、缩小、暂停、撤销、</w:t>
      </w:r>
      <w:r>
        <w:rPr>
          <w:rFonts w:hint="eastAsia" w:ascii="宋体" w:hAnsi="宋体" w:eastAsia="宋体" w:cs="宋体"/>
          <w:color w:val="auto"/>
          <w:sz w:val="21"/>
          <w:szCs w:val="21"/>
          <w:highlight w:val="none"/>
          <w:lang w:val="en-US" w:eastAsia="zh-CN"/>
        </w:rPr>
        <w:t>注销、</w:t>
      </w:r>
      <w:r>
        <w:rPr>
          <w:rFonts w:hint="eastAsia" w:ascii="宋体" w:hAnsi="宋体" w:eastAsia="宋体" w:cs="宋体"/>
          <w:color w:val="auto"/>
          <w:sz w:val="21"/>
          <w:szCs w:val="21"/>
          <w:highlight w:val="none"/>
        </w:rPr>
        <w:t>恢复认证证书的决定，并保留相应的会议记录。</w:t>
      </w:r>
    </w:p>
    <w:p w14:paraId="4FBED2BB">
      <w:pPr>
        <w:keepNext w:val="0"/>
        <w:keepLines w:val="0"/>
        <w:pageBreakBefore w:val="0"/>
        <w:kinsoku/>
        <w:wordWrap/>
        <w:overflowPunct/>
        <w:bidi w:val="0"/>
        <w:snapToGrid/>
        <w:spacing w:line="324"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对已完成的现场审核，审核资料应在三个月内递交认证决定。</w:t>
      </w:r>
    </w:p>
    <w:p w14:paraId="00CF65B0">
      <w:pPr>
        <w:keepNext w:val="0"/>
        <w:keepLines w:val="0"/>
        <w:pageBreakBefore w:val="0"/>
        <w:kinsoku/>
        <w:wordWrap/>
        <w:overflowPunct/>
        <w:bidi w:val="0"/>
        <w:snapToGrid/>
        <w:spacing w:line="324"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对于两年内参与了对客户的管理体系咨询的人员或其他存在利益冲突的人员，不得参与针对该客户的认证决定活动。</w:t>
      </w:r>
    </w:p>
    <w:p w14:paraId="53B42D42">
      <w:pPr>
        <w:keepNext w:val="0"/>
        <w:keepLines w:val="0"/>
        <w:pageBreakBefore w:val="0"/>
        <w:kinsoku/>
        <w:wordWrap/>
        <w:overflowPunct/>
        <w:bidi w:val="0"/>
        <w:snapToGrid/>
        <w:spacing w:line="324"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5.1.4</w:t>
      </w:r>
      <w:r>
        <w:rPr>
          <w:rFonts w:hint="eastAsia" w:ascii="宋体" w:hAnsi="宋体" w:eastAsia="宋体" w:cs="宋体"/>
          <w:color w:val="auto"/>
          <w:sz w:val="21"/>
          <w:szCs w:val="21"/>
          <w:highlight w:val="none"/>
        </w:rPr>
        <w:t xml:space="preserve"> 技术委员会将通过评审初审/再认证、监督、扩大、缩小的资料移交</w:t>
      </w:r>
      <w:r>
        <w:rPr>
          <w:rFonts w:hint="eastAsia" w:ascii="宋体" w:hAnsi="宋体" w:eastAsia="宋体" w:cs="宋体"/>
          <w:color w:val="auto"/>
          <w:sz w:val="21"/>
          <w:szCs w:val="21"/>
          <w:highlight w:val="none"/>
          <w:lang w:eastAsia="zh-CN"/>
        </w:rPr>
        <w:t>技术部</w:t>
      </w:r>
      <w:r>
        <w:rPr>
          <w:rFonts w:hint="eastAsia" w:ascii="宋体" w:hAnsi="宋体" w:eastAsia="宋体" w:cs="宋体"/>
          <w:color w:val="auto"/>
          <w:sz w:val="21"/>
          <w:szCs w:val="21"/>
          <w:highlight w:val="none"/>
        </w:rPr>
        <w:t>制作证书，并由</w:t>
      </w:r>
      <w:r>
        <w:rPr>
          <w:rFonts w:hint="eastAsia" w:ascii="宋体" w:hAnsi="宋体" w:eastAsia="宋体" w:cs="宋体"/>
          <w:color w:val="auto"/>
          <w:sz w:val="21"/>
          <w:szCs w:val="21"/>
          <w:highlight w:val="none"/>
          <w:lang w:eastAsia="zh-CN"/>
        </w:rPr>
        <w:t>技术部</w:t>
      </w:r>
      <w:r>
        <w:rPr>
          <w:rFonts w:hint="eastAsia" w:ascii="宋体" w:hAnsi="宋体" w:eastAsia="宋体" w:cs="宋体"/>
          <w:color w:val="auto"/>
          <w:sz w:val="21"/>
          <w:szCs w:val="21"/>
          <w:highlight w:val="none"/>
        </w:rPr>
        <w:t>根据认证决定向企业寄发《</w:t>
      </w:r>
      <w:r>
        <w:rPr>
          <w:rFonts w:hint="eastAsia" w:ascii="宋体" w:hAnsi="宋体" w:eastAsia="宋体" w:cs="宋体"/>
          <w:color w:val="auto"/>
          <w:sz w:val="21"/>
          <w:szCs w:val="21"/>
          <w:highlight w:val="none"/>
          <w:lang w:eastAsia="zh-CN"/>
        </w:rPr>
        <w:t>保持认证注册资格通知书</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rPr>
        <w:t>不能通过评审的资料退回</w:t>
      </w:r>
      <w:r>
        <w:rPr>
          <w:rFonts w:hint="eastAsia" w:ascii="宋体" w:hAnsi="宋体" w:eastAsia="宋体" w:cs="宋体"/>
          <w:color w:val="auto"/>
          <w:sz w:val="21"/>
          <w:szCs w:val="21"/>
          <w:highlight w:val="none"/>
          <w:lang w:eastAsia="zh-CN"/>
        </w:rPr>
        <w:t>运营部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运营部</w:t>
      </w:r>
      <w:r>
        <w:rPr>
          <w:rFonts w:hint="eastAsia" w:ascii="宋体" w:hAnsi="宋体" w:eastAsia="宋体" w:cs="宋体"/>
          <w:color w:val="auto"/>
          <w:sz w:val="21"/>
          <w:szCs w:val="21"/>
          <w:highlight w:val="none"/>
        </w:rPr>
        <w:t>应根据技会意见进行整改。</w:t>
      </w:r>
    </w:p>
    <w:p w14:paraId="0D732C9E">
      <w:pPr>
        <w:keepNext w:val="0"/>
        <w:keepLines w:val="0"/>
        <w:pageBreakBefore w:val="0"/>
        <w:kinsoku/>
        <w:wordWrap/>
        <w:overflowPunct/>
        <w:bidi w:val="0"/>
        <w:snapToGrid/>
        <w:spacing w:line="324"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5.1.5 技术委员会做出暂停、撤销认证证书的认证决定后，</w:t>
      </w:r>
      <w:r>
        <w:rPr>
          <w:rFonts w:hint="eastAsia" w:ascii="宋体" w:hAnsi="宋体" w:eastAsia="宋体" w:cs="宋体"/>
          <w:color w:val="auto"/>
          <w:sz w:val="21"/>
          <w:szCs w:val="21"/>
          <w:highlight w:val="none"/>
        </w:rPr>
        <w:t>将获证企业</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lang w:val="en-US" w:eastAsia="zh-CN"/>
        </w:rPr>
        <w:t>暂停信息</w:t>
      </w:r>
      <w:r>
        <w:rPr>
          <w:rFonts w:hint="eastAsia" w:ascii="宋体" w:hAnsi="宋体" w:eastAsia="宋体" w:cs="宋体"/>
          <w:color w:val="auto"/>
          <w:sz w:val="21"/>
          <w:szCs w:val="21"/>
          <w:highlight w:val="none"/>
        </w:rPr>
        <w:t>交</w:t>
      </w:r>
      <w:r>
        <w:rPr>
          <w:rFonts w:hint="eastAsia" w:ascii="宋体" w:hAnsi="宋体" w:eastAsia="宋体" w:cs="宋体"/>
          <w:color w:val="auto"/>
          <w:sz w:val="21"/>
          <w:szCs w:val="21"/>
          <w:highlight w:val="none"/>
          <w:lang w:eastAsia="zh-CN"/>
        </w:rPr>
        <w:t>技术部</w:t>
      </w:r>
      <w:r>
        <w:rPr>
          <w:rFonts w:hint="eastAsia" w:ascii="宋体" w:hAnsi="宋体" w:eastAsia="宋体" w:cs="宋体"/>
          <w:color w:val="auto"/>
          <w:sz w:val="21"/>
          <w:szCs w:val="21"/>
          <w:highlight w:val="none"/>
        </w:rPr>
        <w:t>进行后续处理。</w:t>
      </w:r>
    </w:p>
    <w:p w14:paraId="0BF86EC0">
      <w:pPr>
        <w:keepNext w:val="0"/>
        <w:keepLines w:val="0"/>
        <w:pageBreakBefore w:val="0"/>
        <w:kinsoku/>
        <w:wordWrap/>
        <w:overflowPunct/>
        <w:bidi w:val="0"/>
        <w:snapToGrid/>
        <w:spacing w:line="324"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5.1.6 暂停状态的认证证书，除下列情况外，须经全要素现场审核消除暂停原因后，经认证决定通过可恢复认证资格，并交</w:t>
      </w:r>
      <w:r>
        <w:rPr>
          <w:rFonts w:hint="eastAsia" w:ascii="宋体" w:hAnsi="宋体" w:eastAsia="宋体" w:cs="宋体"/>
          <w:color w:val="auto"/>
          <w:sz w:val="21"/>
          <w:szCs w:val="21"/>
          <w:highlight w:val="none"/>
          <w:lang w:eastAsia="zh-CN"/>
        </w:rPr>
        <w:t>技术部</w:t>
      </w:r>
      <w:r>
        <w:rPr>
          <w:rFonts w:hint="eastAsia" w:ascii="宋体" w:hAnsi="宋体" w:eastAsia="宋体" w:cs="宋体"/>
          <w:color w:val="auto"/>
          <w:sz w:val="21"/>
          <w:szCs w:val="21"/>
          <w:highlight w:val="none"/>
        </w:rPr>
        <w:t>做后续处理。因以下几种原因被暂停注册资格的认证证书，在暂停原因消除后经认证决定人员审查通过，可直接恢复注册资格：</w:t>
      </w:r>
    </w:p>
    <w:p w14:paraId="3140E2DD">
      <w:pPr>
        <w:keepNext w:val="0"/>
        <w:keepLines w:val="0"/>
        <w:pageBreakBefore w:val="0"/>
        <w:kinsoku/>
        <w:wordWrap/>
        <w:overflowPunct/>
        <w:bidi w:val="0"/>
        <w:snapToGrid/>
        <w:spacing w:line="324"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 因企业未按期提交不符合报告整改资料而被暂停的，在取得企业整改资料后须经现场验证可申请恢复注册资格。</w:t>
      </w:r>
    </w:p>
    <w:p w14:paraId="483981EE">
      <w:pPr>
        <w:keepNext w:val="0"/>
        <w:keepLines w:val="0"/>
        <w:pageBreakBefore w:val="0"/>
        <w:kinsoku/>
        <w:wordWrap/>
        <w:overflowPunct/>
        <w:bidi w:val="0"/>
        <w:snapToGrid/>
        <w:spacing w:line="324"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 因企业资质证书（如 3C 证、工业许可证、计量证、特种设备制造许可证等）被暂停或等待办结发证而被我司暂停认证注册资格的，企业在取得有效资质证书后可申请恢复注册资格。</w:t>
      </w:r>
    </w:p>
    <w:p w14:paraId="0F6B79AB">
      <w:pPr>
        <w:keepNext w:val="0"/>
        <w:keepLines w:val="0"/>
        <w:pageBreakBefore w:val="0"/>
        <w:kinsoku/>
        <w:wordWrap/>
        <w:overflowPunct/>
        <w:bidi w:val="0"/>
        <w:snapToGrid/>
        <w:spacing w:line="324"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 公司根据监管部门稽查所发现问题意见暂停企业注册资格的，经监管部门确定问题点不存在或已消除后，</w:t>
      </w:r>
      <w:r>
        <w:rPr>
          <w:rFonts w:hint="eastAsia" w:ascii="宋体" w:hAnsi="宋体" w:eastAsia="宋体" w:cs="宋体"/>
          <w:color w:val="auto"/>
          <w:sz w:val="21"/>
          <w:szCs w:val="21"/>
          <w:highlight w:val="none"/>
          <w:lang w:eastAsia="zh-CN"/>
        </w:rPr>
        <w:t>运营部</w:t>
      </w:r>
      <w:r>
        <w:rPr>
          <w:rFonts w:hint="eastAsia" w:ascii="宋体" w:hAnsi="宋体" w:eastAsia="宋体" w:cs="宋体"/>
          <w:color w:val="auto"/>
          <w:sz w:val="21"/>
          <w:szCs w:val="21"/>
          <w:highlight w:val="none"/>
        </w:rPr>
        <w:t>可根据企业提供相关证据提请认证决定恢复注册资格。</w:t>
      </w:r>
    </w:p>
    <w:p w14:paraId="74093439">
      <w:pPr>
        <w:keepNext w:val="0"/>
        <w:keepLines w:val="0"/>
        <w:pageBreakBefore w:val="0"/>
        <w:kinsoku/>
        <w:wordWrap/>
        <w:overflowPunct/>
        <w:bidi w:val="0"/>
        <w:snapToGrid/>
        <w:spacing w:line="324"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 因欠费暂停注册资格的，在费用交齐后由财务资源部提请认证决定恢复注册资格。</w:t>
      </w:r>
    </w:p>
    <w:p w14:paraId="45829DD4">
      <w:pPr>
        <w:keepNext w:val="0"/>
        <w:keepLines w:val="0"/>
        <w:pageBreakBefore w:val="0"/>
        <w:kinsoku/>
        <w:wordWrap/>
        <w:overflowPunct/>
        <w:bidi w:val="0"/>
        <w:snapToGrid/>
        <w:spacing w:line="324"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5.1.7 按相关规定要求企业首先取得质量体系认证证书方可申报资质的（如工信部的信息集成系统资质），在初审时可颁发三年有效证书，并在监督时跟踪资质申报进度。如三年证书期满仍未能取得相应资质的，不应再接受再认证申请。</w:t>
      </w:r>
    </w:p>
    <w:p w14:paraId="43DAE3C6">
      <w:pPr>
        <w:keepNext w:val="0"/>
        <w:keepLines w:val="0"/>
        <w:pageBreakBefore w:val="0"/>
        <w:kinsoku/>
        <w:wordWrap/>
        <w:overflowPunct/>
        <w:bidi w:val="0"/>
        <w:snapToGrid/>
        <w:spacing w:line="324"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5.2 </w:t>
      </w:r>
      <w:r>
        <w:rPr>
          <w:rFonts w:hint="eastAsia" w:ascii="宋体" w:hAnsi="宋体" w:eastAsia="宋体" w:cs="宋体"/>
          <w:color w:val="auto"/>
          <w:sz w:val="21"/>
          <w:szCs w:val="21"/>
          <w:highlight w:val="none"/>
          <w:lang w:eastAsia="zh-CN"/>
        </w:rPr>
        <w:t>技术部</w:t>
      </w:r>
      <w:r>
        <w:rPr>
          <w:rFonts w:hint="eastAsia" w:ascii="宋体" w:hAnsi="宋体" w:eastAsia="宋体" w:cs="宋体"/>
          <w:color w:val="auto"/>
          <w:sz w:val="21"/>
          <w:szCs w:val="21"/>
          <w:highlight w:val="none"/>
        </w:rPr>
        <w:t>应按照信息通报要求每月向认监委报告注册/暂停/撤销的情况。</w:t>
      </w:r>
    </w:p>
    <w:p w14:paraId="27919A2D">
      <w:pPr>
        <w:keepNext w:val="0"/>
        <w:keepLines w:val="0"/>
        <w:pageBreakBefore w:val="0"/>
        <w:kinsoku/>
        <w:wordWrap/>
        <w:overflowPunct/>
        <w:bidi w:val="0"/>
        <w:snapToGrid/>
        <w:spacing w:line="324"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 如客户对</w:t>
      </w:r>
      <w:r>
        <w:rPr>
          <w:rFonts w:hint="eastAsia" w:ascii="宋体" w:hAnsi="宋体" w:eastAsia="宋体" w:cs="宋体"/>
          <w:color w:val="auto"/>
          <w:sz w:val="21"/>
          <w:szCs w:val="21"/>
          <w:highlight w:val="none"/>
          <w:lang w:eastAsia="zh-CN"/>
        </w:rPr>
        <w:t>CHRZ</w:t>
      </w:r>
      <w:r>
        <w:rPr>
          <w:rFonts w:hint="eastAsia" w:ascii="宋体" w:hAnsi="宋体" w:eastAsia="宋体" w:cs="宋体"/>
          <w:color w:val="auto"/>
          <w:sz w:val="21"/>
          <w:szCs w:val="21"/>
          <w:highlight w:val="none"/>
        </w:rPr>
        <w:t>所做出的认证决定不满，可以进行申诉，参见《投诉和申诉/争议处理程序》。</w:t>
      </w:r>
    </w:p>
    <w:p w14:paraId="5611867A">
      <w:pPr>
        <w:rPr>
          <w:rFonts w:ascii="仿宋_GB2312" w:hAnsi="宋体" w:eastAsia="仿宋_GB2312"/>
          <w:color w:val="auto"/>
          <w:sz w:val="24"/>
          <w:highlight w:val="none"/>
        </w:rPr>
      </w:pPr>
      <w:r>
        <w:rPr>
          <w:rFonts w:ascii="仿宋_GB2312" w:hAnsi="宋体" w:eastAsia="仿宋_GB2312"/>
          <w:color w:val="auto"/>
          <w:sz w:val="24"/>
          <w:highlight w:val="none"/>
        </w:rPr>
        <w:br w:type="page"/>
      </w:r>
    </w:p>
    <w:p w14:paraId="32F53763">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outlineLvl w:val="0"/>
        <w:rPr>
          <w:rFonts w:hint="eastAsia" w:ascii="Times New Roman" w:hAnsi="Times New Roman" w:eastAsia="宋体" w:cs="Times New Roman"/>
          <w:b/>
          <w:color w:val="auto"/>
          <w:spacing w:val="32"/>
          <w:sz w:val="32"/>
          <w:szCs w:val="32"/>
          <w:highlight w:val="none"/>
          <w:lang w:val="en-US" w:eastAsia="zh-CN"/>
        </w:rPr>
      </w:pPr>
      <w:bookmarkStart w:id="34" w:name="_Toc9430"/>
      <w:r>
        <w:rPr>
          <w:rFonts w:hint="eastAsia" w:ascii="Times New Roman" w:hAnsi="Times New Roman" w:eastAsia="宋体" w:cs="Times New Roman"/>
          <w:b/>
          <w:color w:val="auto"/>
          <w:spacing w:val="32"/>
          <w:sz w:val="32"/>
          <w:szCs w:val="32"/>
          <w:highlight w:val="none"/>
          <w:lang w:val="en-US" w:eastAsia="zh-CN"/>
        </w:rPr>
        <w:t>九、保密管理规定</w:t>
      </w:r>
      <w:bookmarkEnd w:id="34"/>
    </w:p>
    <w:p w14:paraId="35F14FED">
      <w:pPr>
        <w:keepNext w:val="0"/>
        <w:keepLines w:val="0"/>
        <w:pageBreakBefore w:val="0"/>
        <w:widowControl w:val="0"/>
        <w:tabs>
          <w:tab w:val="left" w:pos="375"/>
          <w:tab w:val="center" w:pos="4781"/>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b/>
          <w:color w:val="auto"/>
          <w:sz w:val="21"/>
          <w:szCs w:val="21"/>
          <w:highlight w:val="none"/>
        </w:rPr>
      </w:pPr>
      <w:bookmarkStart w:id="35" w:name="_Toc1329"/>
      <w:bookmarkStart w:id="36" w:name="_Toc11047"/>
      <w:r>
        <w:rPr>
          <w:rFonts w:hint="eastAsia" w:ascii="宋体" w:hAnsi="宋体" w:eastAsia="宋体" w:cs="宋体"/>
          <w:b/>
          <w:color w:val="auto"/>
          <w:sz w:val="21"/>
          <w:szCs w:val="21"/>
          <w:highlight w:val="none"/>
          <w:lang w:val="en-US" w:eastAsia="zh-CN"/>
        </w:rPr>
        <w:t xml:space="preserve">1 </w:t>
      </w:r>
      <w:r>
        <w:rPr>
          <w:rFonts w:hint="eastAsia" w:ascii="宋体" w:hAnsi="宋体" w:eastAsia="宋体" w:cs="宋体"/>
          <w:b/>
          <w:color w:val="auto"/>
          <w:sz w:val="21"/>
          <w:szCs w:val="21"/>
          <w:highlight w:val="none"/>
        </w:rPr>
        <w:t>目的</w:t>
      </w:r>
      <w:bookmarkEnd w:id="35"/>
      <w:bookmarkEnd w:id="36"/>
      <w:r>
        <w:rPr>
          <w:rFonts w:hint="eastAsia" w:ascii="宋体" w:hAnsi="宋体" w:eastAsia="宋体" w:cs="宋体"/>
          <w:b/>
          <w:color w:val="auto"/>
          <w:sz w:val="21"/>
          <w:szCs w:val="21"/>
          <w:highlight w:val="none"/>
        </w:rPr>
        <w:t xml:space="preserve"> </w:t>
      </w:r>
    </w:p>
    <w:p w14:paraId="54130500">
      <w:pPr>
        <w:keepNext w:val="0"/>
        <w:keepLines w:val="0"/>
        <w:pageBreakBefore w:val="0"/>
        <w:widowControl w:val="0"/>
        <w:tabs>
          <w:tab w:val="left" w:pos="375"/>
          <w:tab w:val="center" w:pos="4781"/>
        </w:tabs>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为做好认证审核中的保密工作，维护申请人和获证组织的相关权利，特制订本文件。</w:t>
      </w:r>
    </w:p>
    <w:p w14:paraId="03C472FE">
      <w:pPr>
        <w:keepNext w:val="0"/>
        <w:keepLines w:val="0"/>
        <w:pageBreakBefore w:val="0"/>
        <w:widowControl w:val="0"/>
        <w:tabs>
          <w:tab w:val="left" w:pos="375"/>
          <w:tab w:val="center" w:pos="4781"/>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b/>
          <w:color w:val="auto"/>
          <w:sz w:val="21"/>
          <w:szCs w:val="21"/>
          <w:highlight w:val="none"/>
          <w:lang w:val="en-US" w:eastAsia="zh-CN"/>
        </w:rPr>
      </w:pPr>
      <w:bookmarkStart w:id="37" w:name="_Toc19171"/>
      <w:bookmarkStart w:id="38" w:name="_Toc2474"/>
      <w:bookmarkStart w:id="39" w:name="_Toc25275"/>
      <w:r>
        <w:rPr>
          <w:rFonts w:hint="eastAsia" w:ascii="宋体" w:hAnsi="宋体" w:eastAsia="宋体" w:cs="宋体"/>
          <w:b/>
          <w:color w:val="auto"/>
          <w:sz w:val="21"/>
          <w:szCs w:val="21"/>
          <w:highlight w:val="none"/>
          <w:lang w:val="en-US" w:eastAsia="zh-CN"/>
        </w:rPr>
        <w:t>2 范围</w:t>
      </w:r>
      <w:bookmarkEnd w:id="37"/>
      <w:bookmarkEnd w:id="38"/>
      <w:bookmarkEnd w:id="39"/>
      <w:r>
        <w:rPr>
          <w:rFonts w:hint="eastAsia" w:ascii="宋体" w:hAnsi="宋体" w:eastAsia="宋体" w:cs="宋体"/>
          <w:b/>
          <w:color w:val="auto"/>
          <w:sz w:val="21"/>
          <w:szCs w:val="21"/>
          <w:highlight w:val="none"/>
          <w:lang w:val="en-US" w:eastAsia="zh-CN"/>
        </w:rPr>
        <w:t xml:space="preserve"> </w:t>
      </w:r>
    </w:p>
    <w:p w14:paraId="14E46DFC">
      <w:pPr>
        <w:keepNext w:val="0"/>
        <w:keepLines w:val="0"/>
        <w:pageBreakBefore w:val="0"/>
        <w:widowControl w:val="0"/>
        <w:tabs>
          <w:tab w:val="left" w:pos="375"/>
          <w:tab w:val="center" w:pos="4781"/>
        </w:tabs>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 xml:space="preserve">适用于公司在开展认证活动过程中涉及保密管理的所有活动。 </w:t>
      </w:r>
      <w:bookmarkStart w:id="40" w:name="_Toc22160"/>
    </w:p>
    <w:p w14:paraId="0221448C">
      <w:pPr>
        <w:keepNext w:val="0"/>
        <w:keepLines w:val="0"/>
        <w:pageBreakBefore w:val="0"/>
        <w:widowControl w:val="0"/>
        <w:kinsoku/>
        <w:wordWrap/>
        <w:overflowPunct/>
        <w:topLinePunct w:val="0"/>
        <w:autoSpaceDE/>
        <w:autoSpaceDN/>
        <w:bidi w:val="0"/>
        <w:adjustRightInd/>
        <w:snapToGrid/>
        <w:spacing w:line="312" w:lineRule="auto"/>
        <w:textAlignment w:val="auto"/>
        <w:outlineLvl w:val="9"/>
        <w:rPr>
          <w:rFonts w:hint="eastAsia" w:ascii="宋体" w:hAnsi="宋体" w:eastAsia="宋体" w:cs="宋体"/>
          <w:b/>
          <w:color w:val="auto"/>
          <w:sz w:val="21"/>
          <w:szCs w:val="21"/>
          <w:highlight w:val="none"/>
          <w:lang w:val="en-US" w:eastAsia="zh-CN"/>
        </w:rPr>
      </w:pPr>
      <w:bookmarkStart w:id="41" w:name="_Toc29324"/>
      <w:bookmarkStart w:id="42" w:name="_Toc15051"/>
      <w:r>
        <w:rPr>
          <w:rFonts w:hint="eastAsia" w:ascii="宋体" w:hAnsi="宋体" w:eastAsia="宋体" w:cs="宋体"/>
          <w:b/>
          <w:color w:val="auto"/>
          <w:sz w:val="21"/>
          <w:szCs w:val="21"/>
          <w:highlight w:val="none"/>
          <w:lang w:val="en-US" w:eastAsia="zh-CN"/>
        </w:rPr>
        <w:t>3 引用文件</w:t>
      </w:r>
      <w:bookmarkEnd w:id="40"/>
      <w:bookmarkEnd w:id="41"/>
      <w:bookmarkEnd w:id="42"/>
      <w:r>
        <w:rPr>
          <w:rFonts w:hint="eastAsia" w:ascii="宋体" w:hAnsi="宋体" w:eastAsia="宋体" w:cs="宋体"/>
          <w:b/>
          <w:color w:val="auto"/>
          <w:sz w:val="21"/>
          <w:szCs w:val="21"/>
          <w:highlight w:val="none"/>
          <w:lang w:val="en-US" w:eastAsia="zh-CN"/>
        </w:rPr>
        <w:t xml:space="preserve"> </w:t>
      </w:r>
    </w:p>
    <w:p w14:paraId="0A349D97">
      <w:pPr>
        <w:keepNext w:val="0"/>
        <w:keepLines w:val="0"/>
        <w:pageBreakBefore w:val="0"/>
        <w:widowControl w:val="0"/>
        <w:tabs>
          <w:tab w:val="left" w:pos="375"/>
          <w:tab w:val="center" w:pos="4781"/>
        </w:tabs>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中华人民共和国认证认可条例 </w:t>
      </w:r>
    </w:p>
    <w:p w14:paraId="5E7DC172">
      <w:pPr>
        <w:keepNext w:val="0"/>
        <w:keepLines w:val="0"/>
        <w:pageBreakBefore w:val="0"/>
        <w:widowControl w:val="0"/>
        <w:tabs>
          <w:tab w:val="left" w:pos="375"/>
          <w:tab w:val="center" w:pos="4781"/>
        </w:tabs>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认证机构管理办法 </w:t>
      </w:r>
    </w:p>
    <w:p w14:paraId="7962EF7C">
      <w:pPr>
        <w:keepNext w:val="0"/>
        <w:keepLines w:val="0"/>
        <w:pageBreakBefore w:val="0"/>
        <w:widowControl w:val="0"/>
        <w:tabs>
          <w:tab w:val="left" w:pos="375"/>
          <w:tab w:val="center" w:pos="4781"/>
        </w:tabs>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认证及认证培训、咨询人员管理办法 </w:t>
      </w:r>
    </w:p>
    <w:p w14:paraId="133C3918">
      <w:pPr>
        <w:keepNext w:val="0"/>
        <w:keepLines w:val="0"/>
        <w:pageBreakBefore w:val="0"/>
        <w:widowControl w:val="0"/>
        <w:tabs>
          <w:tab w:val="left" w:pos="375"/>
          <w:tab w:val="center" w:pos="4781"/>
        </w:tabs>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CNAS-CC01 《管理体系认证机构要求》（ISO/IEC 17021-1）</w:t>
      </w:r>
    </w:p>
    <w:p w14:paraId="5CB63B27">
      <w:pPr>
        <w:keepNext w:val="0"/>
        <w:keepLines w:val="0"/>
        <w:pageBreakBefore w:val="0"/>
        <w:widowControl w:val="0"/>
        <w:tabs>
          <w:tab w:val="left" w:pos="375"/>
          <w:tab w:val="center" w:pos="4781"/>
        </w:tabs>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CNAS-CC02《产品、过程和服务认证机构要求》（ISO/IEC 17065）</w:t>
      </w:r>
    </w:p>
    <w:p w14:paraId="44123E51">
      <w:pPr>
        <w:keepNext w:val="0"/>
        <w:keepLines w:val="0"/>
        <w:pageBreakBefore w:val="0"/>
        <w:widowControl w:val="0"/>
        <w:tabs>
          <w:tab w:val="left" w:pos="375"/>
          <w:tab w:val="center" w:pos="4781"/>
        </w:tabs>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CNAS-R02《公正性和保密规则》</w:t>
      </w:r>
    </w:p>
    <w:p w14:paraId="730B01BF">
      <w:pPr>
        <w:keepNext w:val="0"/>
        <w:keepLines w:val="0"/>
        <w:pageBreakBefore w:val="0"/>
        <w:widowControl w:val="0"/>
        <w:tabs>
          <w:tab w:val="left" w:pos="375"/>
          <w:tab w:val="center" w:pos="4781"/>
        </w:tabs>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CCAA 自律规范（如：自律公约、认证机构诚信经营规范、人员自律规范）</w:t>
      </w:r>
    </w:p>
    <w:p w14:paraId="579672A8">
      <w:pPr>
        <w:tabs>
          <w:tab w:val="left" w:pos="375"/>
          <w:tab w:val="center" w:pos="4781"/>
        </w:tabs>
        <w:spacing w:line="360" w:lineRule="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4职责</w:t>
      </w:r>
    </w:p>
    <w:p w14:paraId="05B34470">
      <w:pPr>
        <w:tabs>
          <w:tab w:val="left" w:pos="375"/>
          <w:tab w:val="center" w:pos="4781"/>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4.1 总经理宣布和批准公司保密性承诺；</w:t>
      </w:r>
    </w:p>
    <w:p w14:paraId="683EA78E">
      <w:pPr>
        <w:tabs>
          <w:tab w:val="left" w:pos="375"/>
          <w:tab w:val="center" w:pos="4781"/>
        </w:tabs>
        <w:spacing w:line="360" w:lineRule="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4.</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 xml:space="preserve"> </w:t>
      </w:r>
      <w:r>
        <w:rPr>
          <w:rFonts w:hint="eastAsia" w:ascii="宋体" w:hAnsi="宋体" w:eastAsia="宋体" w:cs="宋体"/>
          <w:bCs/>
          <w:color w:val="auto"/>
          <w:sz w:val="21"/>
          <w:szCs w:val="21"/>
          <w:highlight w:val="none"/>
          <w:lang w:val="en-US" w:eastAsia="zh-CN"/>
        </w:rPr>
        <w:t>技术</w:t>
      </w:r>
      <w:r>
        <w:rPr>
          <w:rFonts w:hint="eastAsia" w:ascii="宋体" w:hAnsi="宋体" w:eastAsia="宋体" w:cs="宋体"/>
          <w:bCs/>
          <w:color w:val="auto"/>
          <w:sz w:val="21"/>
          <w:szCs w:val="21"/>
          <w:highlight w:val="none"/>
        </w:rPr>
        <w:t>部负责公司保密工作管理。</w:t>
      </w:r>
    </w:p>
    <w:p w14:paraId="584301E8">
      <w:pPr>
        <w:tabs>
          <w:tab w:val="left" w:pos="375"/>
          <w:tab w:val="center" w:pos="4781"/>
        </w:tabs>
        <w:spacing w:line="360" w:lineRule="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4.3 各部门按照公司保密要求进行日常工作，必要时配合技术部进行保密管理。</w:t>
      </w:r>
    </w:p>
    <w:p w14:paraId="494393B8">
      <w:pPr>
        <w:tabs>
          <w:tab w:val="left" w:pos="375"/>
          <w:tab w:val="center" w:pos="4781"/>
        </w:tabs>
        <w:spacing w:line="360" w:lineRule="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5工作要求</w:t>
      </w:r>
    </w:p>
    <w:p w14:paraId="6E70DCF7">
      <w:pPr>
        <w:tabs>
          <w:tab w:val="left" w:pos="375"/>
          <w:tab w:val="center" w:pos="4781"/>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5.1保密范围</w:t>
      </w:r>
    </w:p>
    <w:p w14:paraId="79071FF9">
      <w:pPr>
        <w:tabs>
          <w:tab w:val="left" w:pos="375"/>
          <w:tab w:val="center" w:pos="4781"/>
        </w:tabs>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从事认证认可活动的机构及其人员（包括代表机构工作的任何委员会成员、合同方、外部机构人员或个人），除法律有要求外，应对从事机构的活动时获得或产生的所有信息予以保密，主要涉及</w:t>
      </w:r>
      <w:r>
        <w:rPr>
          <w:rFonts w:hint="eastAsia" w:ascii="宋体" w:hAnsi="宋体" w:eastAsia="宋体" w:cs="宋体"/>
          <w:bCs/>
          <w:color w:val="auto"/>
          <w:sz w:val="21"/>
          <w:szCs w:val="21"/>
          <w:highlight w:val="none"/>
          <w:lang w:eastAsia="zh-CN"/>
        </w:rPr>
        <w:t>：</w:t>
      </w:r>
    </w:p>
    <w:p w14:paraId="0EB8A6DA">
      <w:pPr>
        <w:tabs>
          <w:tab w:val="left" w:pos="375"/>
          <w:tab w:val="center" w:pos="4781"/>
        </w:tabs>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国家秘密</w:t>
      </w:r>
    </w:p>
    <w:p w14:paraId="34C265ED">
      <w:pPr>
        <w:tabs>
          <w:tab w:val="left" w:pos="375"/>
          <w:tab w:val="center" w:pos="4781"/>
        </w:tabs>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商业秘密</w:t>
      </w:r>
    </w:p>
    <w:p w14:paraId="774E57F2">
      <w:pPr>
        <w:tabs>
          <w:tab w:val="left" w:pos="375"/>
          <w:tab w:val="center" w:pos="4781"/>
        </w:tabs>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——技术秘密</w:t>
      </w:r>
    </w:p>
    <w:p w14:paraId="5B7421A4">
      <w:pPr>
        <w:tabs>
          <w:tab w:val="left" w:pos="375"/>
          <w:tab w:val="center" w:pos="4781"/>
        </w:tabs>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——知识产权</w:t>
      </w:r>
    </w:p>
    <w:p w14:paraId="01DB145E">
      <w:pPr>
        <w:tabs>
          <w:tab w:val="left" w:pos="375"/>
          <w:tab w:val="center" w:pos="4781"/>
        </w:tabs>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——客户的记录，如：申请认证的资料及文件</w:t>
      </w:r>
    </w:p>
    <w:p w14:paraId="121DD664">
      <w:pPr>
        <w:tabs>
          <w:tab w:val="left" w:pos="375"/>
          <w:tab w:val="center" w:pos="4781"/>
        </w:tabs>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——认证档案</w:t>
      </w:r>
    </w:p>
    <w:p w14:paraId="03D70DD3">
      <w:pPr>
        <w:tabs>
          <w:tab w:val="left" w:pos="375"/>
          <w:tab w:val="center" w:pos="4781"/>
        </w:tabs>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——认证人员记录</w:t>
      </w:r>
    </w:p>
    <w:p w14:paraId="754EF923">
      <w:pPr>
        <w:tabs>
          <w:tab w:val="left" w:pos="375"/>
          <w:tab w:val="center" w:pos="4781"/>
        </w:tabs>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——从其他渠道（如申诉、投诉者）获得的信息</w:t>
      </w:r>
    </w:p>
    <w:p w14:paraId="6629629B">
      <w:pPr>
        <w:tabs>
          <w:tab w:val="left" w:pos="375"/>
          <w:tab w:val="center" w:pos="4781"/>
        </w:tabs>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——其他组织未公开或专有信息。</w:t>
      </w:r>
    </w:p>
    <w:p w14:paraId="46FDF3A3">
      <w:pPr>
        <w:tabs>
          <w:tab w:val="left" w:pos="375"/>
          <w:tab w:val="center" w:pos="4781"/>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5.2 公司可以披露的信息：</w:t>
      </w:r>
    </w:p>
    <w:p w14:paraId="04FBFDC3">
      <w:pPr>
        <w:tabs>
          <w:tab w:val="left" w:pos="375"/>
          <w:tab w:val="center" w:pos="4781"/>
        </w:tabs>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得到获准认证的组织书面同意；</w:t>
      </w:r>
    </w:p>
    <w:p w14:paraId="4450E6F3">
      <w:pPr>
        <w:tabs>
          <w:tab w:val="left" w:pos="375"/>
          <w:tab w:val="center" w:pos="4781"/>
        </w:tabs>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从其他合法渠道获得的有关申请人或获准认证客户的公开信息公布的关于获准认证客户认证状态的信息，包括授予、保持、扩大或缩小认证范围的事实及认证范围以及更新、暂停、恢复或者撤销的详细情况；</w:t>
      </w:r>
    </w:p>
    <w:p w14:paraId="4EF9B6A5">
      <w:pPr>
        <w:tabs>
          <w:tab w:val="left" w:pos="375"/>
          <w:tab w:val="center" w:pos="4781"/>
        </w:tabs>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履行法定责任。</w:t>
      </w:r>
    </w:p>
    <w:p w14:paraId="791CA6B8">
      <w:pPr>
        <w:tabs>
          <w:tab w:val="left" w:pos="375"/>
          <w:tab w:val="center" w:pos="4781"/>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5.3 保密措施</w:t>
      </w:r>
    </w:p>
    <w:p w14:paraId="71359A48">
      <w:pPr>
        <w:tabs>
          <w:tab w:val="left" w:pos="375"/>
          <w:tab w:val="center" w:pos="4781"/>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5.3.1 各责任部门定期对本部门的认证人员组织保密管理的培训工作。</w:t>
      </w:r>
    </w:p>
    <w:p w14:paraId="0F0FF0B2">
      <w:pPr>
        <w:tabs>
          <w:tab w:val="left" w:pos="375"/>
          <w:tab w:val="center" w:pos="4781"/>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5.3.2 有机会接触到保密信息的公司工作人员（包括代表机构工作的任何委员会成员、合同方、外部机构人员或个人）均要签署公正性与保密</w:t>
      </w:r>
      <w:r>
        <w:rPr>
          <w:rFonts w:hint="eastAsia" w:ascii="宋体" w:hAnsi="宋体" w:eastAsia="宋体" w:cs="宋体"/>
          <w:bCs/>
          <w:color w:val="auto"/>
          <w:sz w:val="21"/>
          <w:szCs w:val="21"/>
          <w:highlight w:val="none"/>
          <w:lang w:val="en-US" w:eastAsia="zh-CN"/>
        </w:rPr>
        <w:t>承诺</w:t>
      </w:r>
      <w:r>
        <w:rPr>
          <w:rFonts w:hint="eastAsia" w:ascii="宋体" w:hAnsi="宋体" w:eastAsia="宋体" w:cs="宋体"/>
          <w:bCs/>
          <w:color w:val="auto"/>
          <w:sz w:val="21"/>
          <w:szCs w:val="21"/>
          <w:highlight w:val="none"/>
        </w:rPr>
        <w:t>。</w:t>
      </w:r>
    </w:p>
    <w:p w14:paraId="42FC68AD">
      <w:pPr>
        <w:tabs>
          <w:tab w:val="left" w:pos="375"/>
          <w:tab w:val="center" w:pos="4781"/>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5.3.3 公司对需要保密的各类文件、记录或信息都要指定专人管理，妥善保存；对于保密文件的发放、回收、携带、借阅、复制、引用需获得部门负责人同意或办理登记手续。</w:t>
      </w:r>
    </w:p>
    <w:p w14:paraId="19AB0CD6">
      <w:pPr>
        <w:tabs>
          <w:tab w:val="left" w:pos="375"/>
          <w:tab w:val="center" w:pos="4781"/>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5.3.4 当法律法规、认可规范、合同规定，必须向外部组织提供文件或记录，由部门负责人批准后，予以发放。</w:t>
      </w:r>
    </w:p>
    <w:p w14:paraId="013B7B52">
      <w:pPr>
        <w:tabs>
          <w:tab w:val="left" w:pos="375"/>
          <w:tab w:val="center" w:pos="4781"/>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5.3.5 向外部组织或人员提供文件或记录，可由部门负责人审核后，报公司总经理批准。</w:t>
      </w:r>
    </w:p>
    <w:p w14:paraId="3FE947E0">
      <w:pPr>
        <w:tabs>
          <w:tab w:val="left" w:pos="375"/>
          <w:tab w:val="center" w:pos="4781"/>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5.3.6 需要公开的文件、课件或信息，需经保密工作主管部门审查同意。</w:t>
      </w:r>
    </w:p>
    <w:p w14:paraId="3BD9F9D5">
      <w:pPr>
        <w:tabs>
          <w:tab w:val="left" w:pos="375"/>
          <w:tab w:val="center" w:pos="4781"/>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5.3.7 有关认证申请方和获证组织的特定信息需要所有权人书面同意后才能向第三方提供（除非法律限制）</w:t>
      </w:r>
    </w:p>
    <w:p w14:paraId="4C56D170">
      <w:pPr>
        <w:tabs>
          <w:tab w:val="left" w:pos="375"/>
          <w:tab w:val="center" w:pos="4781"/>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5.3.8 当法律法规、认证认可规定需要提交时，应将法律等要求提交的信息在公开文件时通知申请方或获证客户。</w:t>
      </w:r>
    </w:p>
    <w:p w14:paraId="2588D24A">
      <w:pPr>
        <w:tabs>
          <w:tab w:val="left" w:pos="375"/>
          <w:tab w:val="center" w:pos="4781"/>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5.3.9 工作人员进入内部办公场所、ERP 办公系统或参加公司会议，应获取分配的权限获取指定的信息，不浏览与自己工作无关的文件/记录。</w:t>
      </w:r>
    </w:p>
    <w:p w14:paraId="74269894">
      <w:pPr>
        <w:tabs>
          <w:tab w:val="left" w:pos="375"/>
          <w:tab w:val="center" w:pos="4781"/>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5.3.10保密文件只能在授权范围内传递。认证人员在未获得授权前，不能复制、拷贝、照相（截图）、记录、阅读、议论等形式获取和传播涉密信息。</w:t>
      </w:r>
    </w:p>
    <w:p w14:paraId="63B36433">
      <w:pPr>
        <w:tabs>
          <w:tab w:val="left" w:pos="375"/>
          <w:tab w:val="center" w:pos="4781"/>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5.3.11访问涉密信息，需要访问者部门负责人审核，必要时，还需经保密工作主管部门审查批准，并记录访问者的姓名、访问文件名称、访问范围与访问时间。</w:t>
      </w:r>
    </w:p>
    <w:p w14:paraId="60B40AFF">
      <w:pPr>
        <w:tabs>
          <w:tab w:val="left" w:pos="375"/>
          <w:tab w:val="center" w:pos="4781"/>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5.3.12每次审核前，审核组成员签订</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eastAsia="zh-CN"/>
        </w:rPr>
        <w:t>审核组公正性和保密承诺</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rPr>
        <w:t>，在首次会议上，审核组长宣读</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eastAsia="zh-CN"/>
        </w:rPr>
        <w:t>审核组公正性和保密承诺</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rPr>
        <w:t>，应向受审核方承诺保密义务，明确保密事项；</w:t>
      </w:r>
    </w:p>
    <w:p w14:paraId="6FD4D723">
      <w:pPr>
        <w:tabs>
          <w:tab w:val="left" w:pos="375"/>
          <w:tab w:val="center" w:pos="4781"/>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5.3.13审核组由于工作需要对若有必要复制或拷贝的受审核的任何资料，事前应征得受审核的同意，并应严格按照执业机构保密要求处理。</w:t>
      </w:r>
    </w:p>
    <w:p w14:paraId="5BAC27C2">
      <w:pPr>
        <w:tabs>
          <w:tab w:val="left" w:pos="375"/>
          <w:tab w:val="center" w:pos="4781"/>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5.3.14认证人员在审核过程中，需要在审核记录表明审核证据与相关信息时，如原料配方或工艺参数，可表述为查阅的文件或记录编号和对技术信息的评价意见，可以不记录技术信息的具体内容。</w:t>
      </w:r>
    </w:p>
    <w:p w14:paraId="3C652853">
      <w:pPr>
        <w:tabs>
          <w:tab w:val="left" w:pos="375"/>
          <w:tab w:val="center" w:pos="4781"/>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5.3.15 公司配备碎纸机，对于运行过程中形成的作废文件进行破碎处理。</w:t>
      </w:r>
    </w:p>
    <w:p w14:paraId="398E84D6">
      <w:pPr>
        <w:tabs>
          <w:tab w:val="left" w:pos="375"/>
          <w:tab w:val="center" w:pos="4781"/>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5.3.16 公司配备了档案室，用于审核人员档案和认证档案的存放，设置专人对于档案的存储、借阅等管理</w:t>
      </w:r>
    </w:p>
    <w:p w14:paraId="2E3BF8BF">
      <w:pPr>
        <w:tabs>
          <w:tab w:val="left" w:pos="375"/>
          <w:tab w:val="center" w:pos="4781"/>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5.3.17公司人员不在私下探听、获取与自身工作无关的信息。</w:t>
      </w:r>
    </w:p>
    <w:p w14:paraId="3109437D">
      <w:pPr>
        <w:tabs>
          <w:tab w:val="left" w:pos="375"/>
          <w:tab w:val="center" w:pos="4781"/>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5.3.18在与分场所签署的授权范围中，应包括保密要求。</w:t>
      </w:r>
    </w:p>
    <w:p w14:paraId="10D5EFBD">
      <w:pPr>
        <w:tabs>
          <w:tab w:val="left" w:pos="375"/>
          <w:tab w:val="center" w:pos="4781"/>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5.4违反保密规定的处理</w:t>
      </w:r>
    </w:p>
    <w:p w14:paraId="27D35483">
      <w:pPr>
        <w:tabs>
          <w:tab w:val="left" w:pos="375"/>
          <w:tab w:val="center" w:pos="4781"/>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5.4.1 公司人员均有权向公司保密工作主管部门反映、举报泄密行为。</w:t>
      </w:r>
    </w:p>
    <w:p w14:paraId="7C8544AC">
      <w:pPr>
        <w:tabs>
          <w:tab w:val="left" w:pos="375"/>
          <w:tab w:val="center" w:pos="4781"/>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5.4.2 经保密工作主管部门核实情况后，按照已签署的保密协议规定，提出处理意见，报保密工作领导人批准后执行。</w:t>
      </w:r>
    </w:p>
    <w:p w14:paraId="1B42ECFF">
      <w:pPr>
        <w:tabs>
          <w:tab w:val="left" w:pos="375"/>
          <w:tab w:val="center" w:pos="4781"/>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5.4.3 对违反本程序规定，但未造成泄密，或已造成泄密而影响程度轻微的从轻处理，如批评警告；造成泄密，并影响严重的从重处理，如经济赔偿、调离岗位直至追究法律责任。</w:t>
      </w:r>
    </w:p>
    <w:p w14:paraId="04F3BF39">
      <w:pPr>
        <w:tabs>
          <w:tab w:val="left" w:pos="375"/>
          <w:tab w:val="center" w:pos="4781"/>
        </w:tabs>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5.4.4 保密工作主管部门保持处理结果的记录。</w:t>
      </w:r>
    </w:p>
    <w:p w14:paraId="148BD4C2">
      <w:pPr>
        <w:pageBreakBefore w:val="0"/>
        <w:shd w:val="clear"/>
        <w:kinsoku/>
        <w:overflowPunct/>
        <w:topLinePunct w:val="0"/>
        <w:autoSpaceDE/>
        <w:autoSpaceDN/>
        <w:bidi w:val="0"/>
        <w:outlineLvl w:val="9"/>
        <w:rPr>
          <w:rFonts w:hint="eastAsia" w:ascii="宋体" w:hAnsi="宋体" w:eastAsia="宋体" w:cs="宋体"/>
          <w:color w:val="auto"/>
          <w:sz w:val="21"/>
          <w:szCs w:val="21"/>
          <w:highlight w:val="none"/>
        </w:rPr>
      </w:pPr>
    </w:p>
    <w:sectPr>
      <w:footerReference r:id="rId4" w:type="first"/>
      <w:footerReference r:id="rId3" w:type="default"/>
      <w:pgSz w:w="11906" w:h="16838"/>
      <w:pgMar w:top="1418" w:right="1162" w:bottom="1134" w:left="1134" w:header="510" w:footer="567" w:gutter="0"/>
      <w:pgNumType w:fmt="decimal" w:start="1"/>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SBNKGT+MicrosoftYaHei">
    <w:altName w:val="Swis721 WGL4 BT"/>
    <w:panose1 w:val="02000500000000000000"/>
    <w:charset w:val="01"/>
    <w:family w:val="auto"/>
    <w:pitch w:val="default"/>
    <w:sig w:usb0="00000000" w:usb1="00000000" w:usb2="00000000" w:usb3="00000000" w:csb0="00000000" w:csb1="00000000"/>
  </w:font>
  <w:font w:name="Swis721 WGL4 BT">
    <w:panose1 w:val="020B0504020202020204"/>
    <w:charset w:val="00"/>
    <w:family w:val="auto"/>
    <w:pitch w:val="default"/>
    <w:sig w:usb0="00000287" w:usb1="00000000" w:usb2="00000000" w:usb3="00000000" w:csb0="4000009F" w:csb1="DFD7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CEC91">
    <w:pPr>
      <w:rPr>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814F89">
                          <w:pPr>
                            <w:pStyle w:val="2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03814F89">
                    <w:pPr>
                      <w:pStyle w:val="25"/>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1B2B9">
    <w:pPr>
      <w:pStyle w:val="2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87EDDA">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5E87EDDA">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FC6F65"/>
    <w:multiLevelType w:val="multilevel"/>
    <w:tmpl w:val="9DFC6F65"/>
    <w:lvl w:ilvl="0" w:tentative="0">
      <w:start w:val="2"/>
      <w:numFmt w:val="decimal"/>
      <w:lvlText w:val="%1"/>
      <w:lvlJc w:val="left"/>
      <w:pPr>
        <w:ind w:left="928" w:hanging="401"/>
        <w:jc w:val="left"/>
      </w:pPr>
      <w:rPr>
        <w:rFonts w:hint="default"/>
      </w:rPr>
    </w:lvl>
    <w:lvl w:ilvl="1" w:tentative="0">
      <w:start w:val="1"/>
      <w:numFmt w:val="decimal"/>
      <w:lvlText w:val="%1.%2"/>
      <w:lvlJc w:val="left"/>
      <w:pPr>
        <w:ind w:left="928" w:hanging="401"/>
        <w:jc w:val="left"/>
      </w:pPr>
      <w:rPr>
        <w:rFonts w:hint="default" w:ascii="微软雅黑" w:hAnsi="微软雅黑" w:eastAsia="微软雅黑" w:cs="微软雅黑"/>
        <w:spacing w:val="-1"/>
        <w:w w:val="99"/>
        <w:sz w:val="21"/>
        <w:szCs w:val="21"/>
      </w:rPr>
    </w:lvl>
    <w:lvl w:ilvl="2" w:tentative="0">
      <w:start w:val="0"/>
      <w:numFmt w:val="bullet"/>
      <w:lvlText w:val="•"/>
      <w:lvlJc w:val="left"/>
      <w:pPr>
        <w:ind w:left="2825" w:hanging="401"/>
      </w:pPr>
      <w:rPr>
        <w:rFonts w:hint="default"/>
      </w:rPr>
    </w:lvl>
    <w:lvl w:ilvl="3" w:tentative="0">
      <w:start w:val="0"/>
      <w:numFmt w:val="bullet"/>
      <w:lvlText w:val="•"/>
      <w:lvlJc w:val="left"/>
      <w:pPr>
        <w:ind w:left="3778" w:hanging="401"/>
      </w:pPr>
      <w:rPr>
        <w:rFonts w:hint="default"/>
      </w:rPr>
    </w:lvl>
    <w:lvl w:ilvl="4" w:tentative="0">
      <w:start w:val="0"/>
      <w:numFmt w:val="bullet"/>
      <w:lvlText w:val="•"/>
      <w:lvlJc w:val="left"/>
      <w:pPr>
        <w:ind w:left="4730" w:hanging="401"/>
      </w:pPr>
      <w:rPr>
        <w:rFonts w:hint="default"/>
      </w:rPr>
    </w:lvl>
    <w:lvl w:ilvl="5" w:tentative="0">
      <w:start w:val="0"/>
      <w:numFmt w:val="bullet"/>
      <w:lvlText w:val="•"/>
      <w:lvlJc w:val="left"/>
      <w:pPr>
        <w:ind w:left="5683" w:hanging="401"/>
      </w:pPr>
      <w:rPr>
        <w:rFonts w:hint="default"/>
      </w:rPr>
    </w:lvl>
    <w:lvl w:ilvl="6" w:tentative="0">
      <w:start w:val="0"/>
      <w:numFmt w:val="bullet"/>
      <w:lvlText w:val="•"/>
      <w:lvlJc w:val="left"/>
      <w:pPr>
        <w:ind w:left="6636" w:hanging="401"/>
      </w:pPr>
      <w:rPr>
        <w:rFonts w:hint="default"/>
      </w:rPr>
    </w:lvl>
    <w:lvl w:ilvl="7" w:tentative="0">
      <w:start w:val="0"/>
      <w:numFmt w:val="bullet"/>
      <w:lvlText w:val="•"/>
      <w:lvlJc w:val="left"/>
      <w:pPr>
        <w:ind w:left="7588" w:hanging="401"/>
      </w:pPr>
      <w:rPr>
        <w:rFonts w:hint="default"/>
      </w:rPr>
    </w:lvl>
    <w:lvl w:ilvl="8" w:tentative="0">
      <w:start w:val="0"/>
      <w:numFmt w:val="bullet"/>
      <w:lvlText w:val="•"/>
      <w:lvlJc w:val="left"/>
      <w:pPr>
        <w:ind w:left="8541" w:hanging="401"/>
      </w:pPr>
      <w:rPr>
        <w:rFonts w:hint="default"/>
      </w:rPr>
    </w:lvl>
  </w:abstractNum>
  <w:abstractNum w:abstractNumId="1">
    <w:nsid w:val="B88E6C6F"/>
    <w:multiLevelType w:val="singleLevel"/>
    <w:tmpl w:val="B88E6C6F"/>
    <w:lvl w:ilvl="0" w:tentative="0">
      <w:start w:val="1"/>
      <w:numFmt w:val="decimal"/>
      <w:suff w:val="nothing"/>
      <w:lvlText w:val="%1、"/>
      <w:lvlJc w:val="left"/>
    </w:lvl>
  </w:abstractNum>
  <w:abstractNum w:abstractNumId="2">
    <w:nsid w:val="5922B006"/>
    <w:multiLevelType w:val="singleLevel"/>
    <w:tmpl w:val="5922B006"/>
    <w:lvl w:ilvl="0" w:tentative="0">
      <w:start w:val="1"/>
      <w:numFmt w:val="lowerLetter"/>
      <w:suff w:val="nothing"/>
      <w:lvlText w:val="%1)"/>
      <w:lvlJc w:val="left"/>
    </w:lvl>
  </w:abstractNum>
  <w:abstractNum w:abstractNumId="3">
    <w:nsid w:val="6BAD201B"/>
    <w:multiLevelType w:val="multilevel"/>
    <w:tmpl w:val="6BAD201B"/>
    <w:lvl w:ilvl="0" w:tentative="0">
      <w:start w:val="5"/>
      <w:numFmt w:val="decimal"/>
      <w:lvlText w:val="%1)"/>
      <w:lvlJc w:val="left"/>
      <w:pPr>
        <w:tabs>
          <w:tab w:val="left" w:pos="780"/>
        </w:tabs>
        <w:ind w:left="780" w:hanging="360"/>
      </w:pPr>
      <w:rPr>
        <w:rFonts w:hint="default" w:cs="Times New Roman"/>
      </w:rPr>
    </w:lvl>
    <w:lvl w:ilvl="1" w:tentative="0">
      <w:start w:val="1"/>
      <w:numFmt w:val="lowerLetter"/>
      <w:lvlText w:val="%2)"/>
      <w:lvlJc w:val="left"/>
      <w:pPr>
        <w:tabs>
          <w:tab w:val="left" w:pos="1260"/>
        </w:tabs>
        <w:ind w:left="1260" w:hanging="420"/>
      </w:pPr>
      <w:rPr>
        <w:rFonts w:cs="Times New Roman"/>
      </w:rPr>
    </w:lvl>
    <w:lvl w:ilvl="2" w:tentative="0">
      <w:start w:val="1"/>
      <w:numFmt w:val="lowerRoman"/>
      <w:lvlText w:val="%3."/>
      <w:lvlJc w:val="right"/>
      <w:pPr>
        <w:tabs>
          <w:tab w:val="left" w:pos="1680"/>
        </w:tabs>
        <w:ind w:left="1680" w:hanging="420"/>
      </w:pPr>
      <w:rPr>
        <w:rFonts w:cs="Times New Roman"/>
      </w:rPr>
    </w:lvl>
    <w:lvl w:ilvl="3" w:tentative="0">
      <w:start w:val="1"/>
      <w:numFmt w:val="decimal"/>
      <w:lvlText w:val="%4."/>
      <w:lvlJc w:val="left"/>
      <w:pPr>
        <w:tabs>
          <w:tab w:val="left" w:pos="2100"/>
        </w:tabs>
        <w:ind w:left="2100" w:hanging="420"/>
      </w:pPr>
      <w:rPr>
        <w:rFonts w:cs="Times New Roman"/>
      </w:rPr>
    </w:lvl>
    <w:lvl w:ilvl="4" w:tentative="0">
      <w:start w:val="1"/>
      <w:numFmt w:val="lowerLetter"/>
      <w:lvlText w:val="%5)"/>
      <w:lvlJc w:val="left"/>
      <w:pPr>
        <w:tabs>
          <w:tab w:val="left" w:pos="2520"/>
        </w:tabs>
        <w:ind w:left="2520" w:hanging="420"/>
      </w:pPr>
      <w:rPr>
        <w:rFonts w:cs="Times New Roman"/>
      </w:rPr>
    </w:lvl>
    <w:lvl w:ilvl="5" w:tentative="0">
      <w:start w:val="1"/>
      <w:numFmt w:val="lowerRoman"/>
      <w:lvlText w:val="%6."/>
      <w:lvlJc w:val="right"/>
      <w:pPr>
        <w:tabs>
          <w:tab w:val="left" w:pos="2940"/>
        </w:tabs>
        <w:ind w:left="2940" w:hanging="420"/>
      </w:pPr>
      <w:rPr>
        <w:rFonts w:cs="Times New Roman"/>
      </w:rPr>
    </w:lvl>
    <w:lvl w:ilvl="6" w:tentative="0">
      <w:start w:val="1"/>
      <w:numFmt w:val="decimal"/>
      <w:lvlText w:val="%7."/>
      <w:lvlJc w:val="left"/>
      <w:pPr>
        <w:tabs>
          <w:tab w:val="left" w:pos="3360"/>
        </w:tabs>
        <w:ind w:left="3360" w:hanging="420"/>
      </w:pPr>
      <w:rPr>
        <w:rFonts w:cs="Times New Roman"/>
      </w:rPr>
    </w:lvl>
    <w:lvl w:ilvl="7" w:tentative="0">
      <w:start w:val="1"/>
      <w:numFmt w:val="lowerLetter"/>
      <w:lvlText w:val="%8)"/>
      <w:lvlJc w:val="left"/>
      <w:pPr>
        <w:tabs>
          <w:tab w:val="left" w:pos="3780"/>
        </w:tabs>
        <w:ind w:left="3780" w:hanging="420"/>
      </w:pPr>
      <w:rPr>
        <w:rFonts w:cs="Times New Roman"/>
      </w:rPr>
    </w:lvl>
    <w:lvl w:ilvl="8" w:tentative="0">
      <w:start w:val="1"/>
      <w:numFmt w:val="lowerRoman"/>
      <w:lvlText w:val="%9."/>
      <w:lvlJc w:val="right"/>
      <w:pPr>
        <w:tabs>
          <w:tab w:val="left" w:pos="4200"/>
        </w:tabs>
        <w:ind w:left="4200" w:hanging="420"/>
      </w:pPr>
      <w:rPr>
        <w:rFonts w:cs="Times New Roman"/>
      </w:rPr>
    </w:lvl>
  </w:abstractNum>
  <w:abstractNum w:abstractNumId="4">
    <w:nsid w:val="6CC60C69"/>
    <w:multiLevelType w:val="singleLevel"/>
    <w:tmpl w:val="6CC60C69"/>
    <w:lvl w:ilvl="0" w:tentative="0">
      <w:start w:val="1"/>
      <w:numFmt w:val="decimal"/>
      <w:pStyle w:val="14"/>
      <w:lvlText w:val="%1."/>
      <w:lvlJc w:val="left"/>
      <w:pPr>
        <w:tabs>
          <w:tab w:val="left" w:pos="780"/>
        </w:tabs>
        <w:ind w:left="780" w:hanging="360"/>
      </w:pPr>
    </w:lvl>
  </w:abstractNum>
  <w:abstractNum w:abstractNumId="5">
    <w:nsid w:val="73D53277"/>
    <w:multiLevelType w:val="singleLevel"/>
    <w:tmpl w:val="73D53277"/>
    <w:lvl w:ilvl="0" w:tentative="0">
      <w:start w:val="1"/>
      <w:numFmt w:val="lowerLetter"/>
      <w:suff w:val="space"/>
      <w:lvlText w:val="%1)"/>
      <w:lvlJc w:val="left"/>
    </w:lvl>
  </w:abstractNum>
  <w:abstractNum w:abstractNumId="6">
    <w:nsid w:val="765D6A73"/>
    <w:multiLevelType w:val="singleLevel"/>
    <w:tmpl w:val="765D6A73"/>
    <w:lvl w:ilvl="0" w:tentative="0">
      <w:start w:val="1"/>
      <w:numFmt w:val="lowerLetter"/>
      <w:suff w:val="nothing"/>
      <w:lvlText w:val="%1)"/>
      <w:lvlJc w:val="left"/>
    </w:lvl>
  </w:abstractNum>
  <w:abstractNum w:abstractNumId="7">
    <w:nsid w:val="7D7E1DDA"/>
    <w:multiLevelType w:val="multilevel"/>
    <w:tmpl w:val="7D7E1DDA"/>
    <w:lvl w:ilvl="0" w:tentative="0">
      <w:start w:val="2"/>
      <w:numFmt w:val="decimal"/>
      <w:lvlText w:val="%1)"/>
      <w:lvlJc w:val="left"/>
      <w:pPr>
        <w:tabs>
          <w:tab w:val="left" w:pos="780"/>
        </w:tabs>
        <w:ind w:left="780" w:hanging="360"/>
      </w:pPr>
      <w:rPr>
        <w:rFonts w:hint="default" w:cs="Times New Roman"/>
      </w:rPr>
    </w:lvl>
    <w:lvl w:ilvl="1" w:tentative="0">
      <w:start w:val="1"/>
      <w:numFmt w:val="lowerLetter"/>
      <w:lvlText w:val="%2)"/>
      <w:lvlJc w:val="left"/>
      <w:pPr>
        <w:tabs>
          <w:tab w:val="left" w:pos="1260"/>
        </w:tabs>
        <w:ind w:left="1260" w:hanging="420"/>
      </w:pPr>
      <w:rPr>
        <w:rFonts w:cs="Times New Roman"/>
      </w:rPr>
    </w:lvl>
    <w:lvl w:ilvl="2" w:tentative="0">
      <w:start w:val="1"/>
      <w:numFmt w:val="lowerRoman"/>
      <w:lvlText w:val="%3."/>
      <w:lvlJc w:val="right"/>
      <w:pPr>
        <w:tabs>
          <w:tab w:val="left" w:pos="1680"/>
        </w:tabs>
        <w:ind w:left="1680" w:hanging="420"/>
      </w:pPr>
      <w:rPr>
        <w:rFonts w:cs="Times New Roman"/>
      </w:rPr>
    </w:lvl>
    <w:lvl w:ilvl="3" w:tentative="0">
      <w:start w:val="1"/>
      <w:numFmt w:val="decimal"/>
      <w:lvlText w:val="%4."/>
      <w:lvlJc w:val="left"/>
      <w:pPr>
        <w:tabs>
          <w:tab w:val="left" w:pos="2100"/>
        </w:tabs>
        <w:ind w:left="2100" w:hanging="420"/>
      </w:pPr>
      <w:rPr>
        <w:rFonts w:cs="Times New Roman"/>
      </w:rPr>
    </w:lvl>
    <w:lvl w:ilvl="4" w:tentative="0">
      <w:start w:val="1"/>
      <w:numFmt w:val="lowerLetter"/>
      <w:lvlText w:val="%5)"/>
      <w:lvlJc w:val="left"/>
      <w:pPr>
        <w:tabs>
          <w:tab w:val="left" w:pos="2520"/>
        </w:tabs>
        <w:ind w:left="2520" w:hanging="420"/>
      </w:pPr>
      <w:rPr>
        <w:rFonts w:cs="Times New Roman"/>
      </w:rPr>
    </w:lvl>
    <w:lvl w:ilvl="5" w:tentative="0">
      <w:start w:val="1"/>
      <w:numFmt w:val="lowerRoman"/>
      <w:lvlText w:val="%6."/>
      <w:lvlJc w:val="right"/>
      <w:pPr>
        <w:tabs>
          <w:tab w:val="left" w:pos="2940"/>
        </w:tabs>
        <w:ind w:left="2940" w:hanging="420"/>
      </w:pPr>
      <w:rPr>
        <w:rFonts w:cs="Times New Roman"/>
      </w:rPr>
    </w:lvl>
    <w:lvl w:ilvl="6" w:tentative="0">
      <w:start w:val="1"/>
      <w:numFmt w:val="decimal"/>
      <w:lvlText w:val="%7."/>
      <w:lvlJc w:val="left"/>
      <w:pPr>
        <w:tabs>
          <w:tab w:val="left" w:pos="3360"/>
        </w:tabs>
        <w:ind w:left="3360" w:hanging="420"/>
      </w:pPr>
      <w:rPr>
        <w:rFonts w:cs="Times New Roman"/>
      </w:rPr>
    </w:lvl>
    <w:lvl w:ilvl="7" w:tentative="0">
      <w:start w:val="1"/>
      <w:numFmt w:val="lowerLetter"/>
      <w:lvlText w:val="%8)"/>
      <w:lvlJc w:val="left"/>
      <w:pPr>
        <w:tabs>
          <w:tab w:val="left" w:pos="3780"/>
        </w:tabs>
        <w:ind w:left="3780" w:hanging="420"/>
      </w:pPr>
      <w:rPr>
        <w:rFonts w:cs="Times New Roman"/>
      </w:rPr>
    </w:lvl>
    <w:lvl w:ilvl="8" w:tentative="0">
      <w:start w:val="1"/>
      <w:numFmt w:val="lowerRoman"/>
      <w:lvlText w:val="%9."/>
      <w:lvlJc w:val="right"/>
      <w:pPr>
        <w:tabs>
          <w:tab w:val="left" w:pos="4200"/>
        </w:tabs>
        <w:ind w:left="4200" w:hanging="420"/>
      </w:pPr>
      <w:rPr>
        <w:rFonts w:cs="Times New Roman"/>
      </w:rPr>
    </w:lvl>
  </w:abstractNum>
  <w:num w:numId="1">
    <w:abstractNumId w:val="4"/>
  </w:num>
  <w:num w:numId="2">
    <w:abstractNumId w:val="1"/>
  </w:num>
  <w:num w:numId="3">
    <w:abstractNumId w:val="0"/>
  </w:num>
  <w:num w:numId="4">
    <w:abstractNumId w:val="5"/>
  </w:num>
  <w:num w:numId="5">
    <w:abstractNumId w:val="2"/>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13F"/>
    <w:rsid w:val="00002B6B"/>
    <w:rsid w:val="00012EBD"/>
    <w:rsid w:val="00013126"/>
    <w:rsid w:val="000152ED"/>
    <w:rsid w:val="00015352"/>
    <w:rsid w:val="00020B35"/>
    <w:rsid w:val="00023532"/>
    <w:rsid w:val="000236EA"/>
    <w:rsid w:val="00026142"/>
    <w:rsid w:val="00027EA0"/>
    <w:rsid w:val="00030698"/>
    <w:rsid w:val="000363F7"/>
    <w:rsid w:val="000403F8"/>
    <w:rsid w:val="00042BB0"/>
    <w:rsid w:val="000469C2"/>
    <w:rsid w:val="000470C8"/>
    <w:rsid w:val="00056D9D"/>
    <w:rsid w:val="000579AD"/>
    <w:rsid w:val="000645C6"/>
    <w:rsid w:val="00064FAB"/>
    <w:rsid w:val="00072872"/>
    <w:rsid w:val="00072CD5"/>
    <w:rsid w:val="00074DE5"/>
    <w:rsid w:val="00082038"/>
    <w:rsid w:val="000836FD"/>
    <w:rsid w:val="00093AE8"/>
    <w:rsid w:val="00096200"/>
    <w:rsid w:val="000A1094"/>
    <w:rsid w:val="000A16F9"/>
    <w:rsid w:val="000A5256"/>
    <w:rsid w:val="000B0E6B"/>
    <w:rsid w:val="000B29C3"/>
    <w:rsid w:val="000B5D5C"/>
    <w:rsid w:val="000C3EEE"/>
    <w:rsid w:val="000D4E0F"/>
    <w:rsid w:val="000D70E7"/>
    <w:rsid w:val="000E046D"/>
    <w:rsid w:val="000E054B"/>
    <w:rsid w:val="000E10EF"/>
    <w:rsid w:val="000E69EA"/>
    <w:rsid w:val="000E7E3E"/>
    <w:rsid w:val="000F036B"/>
    <w:rsid w:val="00101919"/>
    <w:rsid w:val="00106F75"/>
    <w:rsid w:val="001119C2"/>
    <w:rsid w:val="001129D5"/>
    <w:rsid w:val="00122730"/>
    <w:rsid w:val="001227B3"/>
    <w:rsid w:val="0013259F"/>
    <w:rsid w:val="00134384"/>
    <w:rsid w:val="00134B94"/>
    <w:rsid w:val="00134C10"/>
    <w:rsid w:val="00136BB5"/>
    <w:rsid w:val="00140E16"/>
    <w:rsid w:val="0014708A"/>
    <w:rsid w:val="001619FF"/>
    <w:rsid w:val="00162CAB"/>
    <w:rsid w:val="001666C9"/>
    <w:rsid w:val="00172174"/>
    <w:rsid w:val="00173EE2"/>
    <w:rsid w:val="001753E5"/>
    <w:rsid w:val="001778FF"/>
    <w:rsid w:val="00190F69"/>
    <w:rsid w:val="00193F05"/>
    <w:rsid w:val="00194433"/>
    <w:rsid w:val="0019707E"/>
    <w:rsid w:val="001B18BB"/>
    <w:rsid w:val="001B4C12"/>
    <w:rsid w:val="001B4D14"/>
    <w:rsid w:val="001B5AD7"/>
    <w:rsid w:val="001C1F1A"/>
    <w:rsid w:val="001C37CE"/>
    <w:rsid w:val="001C40E3"/>
    <w:rsid w:val="001D2C8C"/>
    <w:rsid w:val="001D4168"/>
    <w:rsid w:val="001D4679"/>
    <w:rsid w:val="001D6D91"/>
    <w:rsid w:val="001E52CC"/>
    <w:rsid w:val="001E66C1"/>
    <w:rsid w:val="001F10F4"/>
    <w:rsid w:val="001F35BE"/>
    <w:rsid w:val="001F40A1"/>
    <w:rsid w:val="001F438A"/>
    <w:rsid w:val="00212A3B"/>
    <w:rsid w:val="00214923"/>
    <w:rsid w:val="0021588E"/>
    <w:rsid w:val="00222AB1"/>
    <w:rsid w:val="00227FEB"/>
    <w:rsid w:val="002331CF"/>
    <w:rsid w:val="002402B7"/>
    <w:rsid w:val="00243C56"/>
    <w:rsid w:val="0025580F"/>
    <w:rsid w:val="002566F2"/>
    <w:rsid w:val="00264608"/>
    <w:rsid w:val="00267708"/>
    <w:rsid w:val="002760B7"/>
    <w:rsid w:val="00277135"/>
    <w:rsid w:val="002801AD"/>
    <w:rsid w:val="002924C5"/>
    <w:rsid w:val="00294A4B"/>
    <w:rsid w:val="00295864"/>
    <w:rsid w:val="002A0AC0"/>
    <w:rsid w:val="002A5060"/>
    <w:rsid w:val="002B4767"/>
    <w:rsid w:val="002B484B"/>
    <w:rsid w:val="002C0BA7"/>
    <w:rsid w:val="002C334B"/>
    <w:rsid w:val="002C33D4"/>
    <w:rsid w:val="002E128A"/>
    <w:rsid w:val="002F75D8"/>
    <w:rsid w:val="0030185E"/>
    <w:rsid w:val="00305B0F"/>
    <w:rsid w:val="003061C4"/>
    <w:rsid w:val="00313443"/>
    <w:rsid w:val="0032284E"/>
    <w:rsid w:val="00323642"/>
    <w:rsid w:val="003309B4"/>
    <w:rsid w:val="00332691"/>
    <w:rsid w:val="00333564"/>
    <w:rsid w:val="003368F1"/>
    <w:rsid w:val="003423E9"/>
    <w:rsid w:val="00342B7A"/>
    <w:rsid w:val="00344CFF"/>
    <w:rsid w:val="00344E33"/>
    <w:rsid w:val="00344F01"/>
    <w:rsid w:val="00345B2B"/>
    <w:rsid w:val="00346FB4"/>
    <w:rsid w:val="00351E81"/>
    <w:rsid w:val="00354E6A"/>
    <w:rsid w:val="00355716"/>
    <w:rsid w:val="0037191F"/>
    <w:rsid w:val="00373AAB"/>
    <w:rsid w:val="0038222B"/>
    <w:rsid w:val="00383331"/>
    <w:rsid w:val="0038422D"/>
    <w:rsid w:val="00396733"/>
    <w:rsid w:val="003A4211"/>
    <w:rsid w:val="003A7261"/>
    <w:rsid w:val="003A76C6"/>
    <w:rsid w:val="003B0FA8"/>
    <w:rsid w:val="003B6784"/>
    <w:rsid w:val="003C513C"/>
    <w:rsid w:val="003D1EFB"/>
    <w:rsid w:val="003D549C"/>
    <w:rsid w:val="003D74EB"/>
    <w:rsid w:val="003E7265"/>
    <w:rsid w:val="0040278C"/>
    <w:rsid w:val="00402B81"/>
    <w:rsid w:val="00410E00"/>
    <w:rsid w:val="00416813"/>
    <w:rsid w:val="00427FC1"/>
    <w:rsid w:val="00432E0E"/>
    <w:rsid w:val="00445C9F"/>
    <w:rsid w:val="00455873"/>
    <w:rsid w:val="004572D9"/>
    <w:rsid w:val="00460560"/>
    <w:rsid w:val="00465057"/>
    <w:rsid w:val="00476A53"/>
    <w:rsid w:val="00481098"/>
    <w:rsid w:val="00487B28"/>
    <w:rsid w:val="004972A1"/>
    <w:rsid w:val="004A2435"/>
    <w:rsid w:val="004A4621"/>
    <w:rsid w:val="004B240C"/>
    <w:rsid w:val="004B6528"/>
    <w:rsid w:val="004D34FF"/>
    <w:rsid w:val="004D52A9"/>
    <w:rsid w:val="004E213F"/>
    <w:rsid w:val="004E22DA"/>
    <w:rsid w:val="004E27FB"/>
    <w:rsid w:val="004E43B2"/>
    <w:rsid w:val="004E493F"/>
    <w:rsid w:val="005039D7"/>
    <w:rsid w:val="005076F6"/>
    <w:rsid w:val="00512382"/>
    <w:rsid w:val="00515587"/>
    <w:rsid w:val="00515884"/>
    <w:rsid w:val="00524F9D"/>
    <w:rsid w:val="00525A55"/>
    <w:rsid w:val="00527614"/>
    <w:rsid w:val="00527AA4"/>
    <w:rsid w:val="00533220"/>
    <w:rsid w:val="00533474"/>
    <w:rsid w:val="00536608"/>
    <w:rsid w:val="00546A4F"/>
    <w:rsid w:val="0054768D"/>
    <w:rsid w:val="00557ADA"/>
    <w:rsid w:val="00562832"/>
    <w:rsid w:val="005636F9"/>
    <w:rsid w:val="00564E3F"/>
    <w:rsid w:val="0056603E"/>
    <w:rsid w:val="0056660D"/>
    <w:rsid w:val="00572164"/>
    <w:rsid w:val="005723E4"/>
    <w:rsid w:val="00573806"/>
    <w:rsid w:val="00574201"/>
    <w:rsid w:val="00575E86"/>
    <w:rsid w:val="005906D5"/>
    <w:rsid w:val="005A3F2D"/>
    <w:rsid w:val="005A5F67"/>
    <w:rsid w:val="005A6A3D"/>
    <w:rsid w:val="005A757B"/>
    <w:rsid w:val="005B0690"/>
    <w:rsid w:val="005B23E5"/>
    <w:rsid w:val="005B2A75"/>
    <w:rsid w:val="005B5B42"/>
    <w:rsid w:val="005B6600"/>
    <w:rsid w:val="005C15E5"/>
    <w:rsid w:val="005C4361"/>
    <w:rsid w:val="005C562B"/>
    <w:rsid w:val="005D0B7F"/>
    <w:rsid w:val="005D0FA3"/>
    <w:rsid w:val="005D5182"/>
    <w:rsid w:val="005E5C6A"/>
    <w:rsid w:val="005F32EF"/>
    <w:rsid w:val="00604050"/>
    <w:rsid w:val="00606D14"/>
    <w:rsid w:val="00606EF3"/>
    <w:rsid w:val="00616779"/>
    <w:rsid w:val="00617F5E"/>
    <w:rsid w:val="00620182"/>
    <w:rsid w:val="00626961"/>
    <w:rsid w:val="00630702"/>
    <w:rsid w:val="0063606C"/>
    <w:rsid w:val="00640666"/>
    <w:rsid w:val="00644B00"/>
    <w:rsid w:val="006507B0"/>
    <w:rsid w:val="00650D65"/>
    <w:rsid w:val="00652475"/>
    <w:rsid w:val="00653AFB"/>
    <w:rsid w:val="00656687"/>
    <w:rsid w:val="00656BEC"/>
    <w:rsid w:val="006632C0"/>
    <w:rsid w:val="006656EA"/>
    <w:rsid w:val="00665C0D"/>
    <w:rsid w:val="00666FD0"/>
    <w:rsid w:val="00670176"/>
    <w:rsid w:val="006701C8"/>
    <w:rsid w:val="0067054F"/>
    <w:rsid w:val="006722DD"/>
    <w:rsid w:val="0067351B"/>
    <w:rsid w:val="00675D52"/>
    <w:rsid w:val="0068109E"/>
    <w:rsid w:val="00681C0B"/>
    <w:rsid w:val="006903A0"/>
    <w:rsid w:val="006969E7"/>
    <w:rsid w:val="006A0D42"/>
    <w:rsid w:val="006A10AE"/>
    <w:rsid w:val="006A402D"/>
    <w:rsid w:val="006A5D23"/>
    <w:rsid w:val="006B079F"/>
    <w:rsid w:val="006B2E03"/>
    <w:rsid w:val="006C00D2"/>
    <w:rsid w:val="006C0258"/>
    <w:rsid w:val="006C26AD"/>
    <w:rsid w:val="006C3795"/>
    <w:rsid w:val="006C51FB"/>
    <w:rsid w:val="006D013C"/>
    <w:rsid w:val="006D406A"/>
    <w:rsid w:val="006D644F"/>
    <w:rsid w:val="006E33CC"/>
    <w:rsid w:val="006E4D44"/>
    <w:rsid w:val="006F04CB"/>
    <w:rsid w:val="006F20F0"/>
    <w:rsid w:val="006F2BCD"/>
    <w:rsid w:val="006F6456"/>
    <w:rsid w:val="006F65B8"/>
    <w:rsid w:val="00706FD1"/>
    <w:rsid w:val="00711AC1"/>
    <w:rsid w:val="00715906"/>
    <w:rsid w:val="00715A6A"/>
    <w:rsid w:val="00716205"/>
    <w:rsid w:val="007165A4"/>
    <w:rsid w:val="00721A59"/>
    <w:rsid w:val="00726955"/>
    <w:rsid w:val="00732D4C"/>
    <w:rsid w:val="00735437"/>
    <w:rsid w:val="00741D93"/>
    <w:rsid w:val="007471AD"/>
    <w:rsid w:val="00747614"/>
    <w:rsid w:val="00751F04"/>
    <w:rsid w:val="00754894"/>
    <w:rsid w:val="00760627"/>
    <w:rsid w:val="007616DE"/>
    <w:rsid w:val="00763AEA"/>
    <w:rsid w:val="007654B7"/>
    <w:rsid w:val="00771210"/>
    <w:rsid w:val="00773D87"/>
    <w:rsid w:val="00777BE4"/>
    <w:rsid w:val="00783890"/>
    <w:rsid w:val="00783FC3"/>
    <w:rsid w:val="007877CA"/>
    <w:rsid w:val="0079084B"/>
    <w:rsid w:val="0079129B"/>
    <w:rsid w:val="00791B88"/>
    <w:rsid w:val="0079208C"/>
    <w:rsid w:val="0079402D"/>
    <w:rsid w:val="007A7CB3"/>
    <w:rsid w:val="007A7DC2"/>
    <w:rsid w:val="007A7E37"/>
    <w:rsid w:val="007B1DA8"/>
    <w:rsid w:val="007B3067"/>
    <w:rsid w:val="007B70FA"/>
    <w:rsid w:val="007C0A80"/>
    <w:rsid w:val="007C0D74"/>
    <w:rsid w:val="007C1646"/>
    <w:rsid w:val="007D2D17"/>
    <w:rsid w:val="007D3024"/>
    <w:rsid w:val="007D747D"/>
    <w:rsid w:val="007E09F4"/>
    <w:rsid w:val="007E55E7"/>
    <w:rsid w:val="007E5B1F"/>
    <w:rsid w:val="007E6220"/>
    <w:rsid w:val="007F1264"/>
    <w:rsid w:val="007F2EBC"/>
    <w:rsid w:val="007F6534"/>
    <w:rsid w:val="008002DF"/>
    <w:rsid w:val="00801B71"/>
    <w:rsid w:val="00805420"/>
    <w:rsid w:val="00810397"/>
    <w:rsid w:val="008124AB"/>
    <w:rsid w:val="00814B10"/>
    <w:rsid w:val="00827D19"/>
    <w:rsid w:val="00827F17"/>
    <w:rsid w:val="00832720"/>
    <w:rsid w:val="0083484A"/>
    <w:rsid w:val="00835833"/>
    <w:rsid w:val="008358FD"/>
    <w:rsid w:val="00837DE4"/>
    <w:rsid w:val="00843AD0"/>
    <w:rsid w:val="00850FF7"/>
    <w:rsid w:val="008511CB"/>
    <w:rsid w:val="00853CBB"/>
    <w:rsid w:val="00854450"/>
    <w:rsid w:val="00854600"/>
    <w:rsid w:val="0085778D"/>
    <w:rsid w:val="00866D56"/>
    <w:rsid w:val="0086702D"/>
    <w:rsid w:val="008741E7"/>
    <w:rsid w:val="008874E6"/>
    <w:rsid w:val="00890CD3"/>
    <w:rsid w:val="008A41B6"/>
    <w:rsid w:val="008A5E86"/>
    <w:rsid w:val="008B18D1"/>
    <w:rsid w:val="008B2823"/>
    <w:rsid w:val="008B5A45"/>
    <w:rsid w:val="008C5A13"/>
    <w:rsid w:val="008C65A9"/>
    <w:rsid w:val="008D06BF"/>
    <w:rsid w:val="008D079B"/>
    <w:rsid w:val="008D449F"/>
    <w:rsid w:val="008D4A38"/>
    <w:rsid w:val="008D4A70"/>
    <w:rsid w:val="008D7546"/>
    <w:rsid w:val="008E0264"/>
    <w:rsid w:val="008E1205"/>
    <w:rsid w:val="008E3C4F"/>
    <w:rsid w:val="008E47FD"/>
    <w:rsid w:val="008F0DEE"/>
    <w:rsid w:val="008F3342"/>
    <w:rsid w:val="009068FD"/>
    <w:rsid w:val="00923BEA"/>
    <w:rsid w:val="009241D4"/>
    <w:rsid w:val="009302F6"/>
    <w:rsid w:val="009314BB"/>
    <w:rsid w:val="00935965"/>
    <w:rsid w:val="00936DB9"/>
    <w:rsid w:val="009370A6"/>
    <w:rsid w:val="00942DDA"/>
    <w:rsid w:val="00943E65"/>
    <w:rsid w:val="00946A6E"/>
    <w:rsid w:val="0094786A"/>
    <w:rsid w:val="00947B89"/>
    <w:rsid w:val="00961350"/>
    <w:rsid w:val="00964188"/>
    <w:rsid w:val="00970F2B"/>
    <w:rsid w:val="0097332C"/>
    <w:rsid w:val="009745D7"/>
    <w:rsid w:val="00976D02"/>
    <w:rsid w:val="009839D2"/>
    <w:rsid w:val="0098428C"/>
    <w:rsid w:val="00986339"/>
    <w:rsid w:val="00986ADC"/>
    <w:rsid w:val="009906F3"/>
    <w:rsid w:val="0099183E"/>
    <w:rsid w:val="00991A73"/>
    <w:rsid w:val="00991AFD"/>
    <w:rsid w:val="009A3DCB"/>
    <w:rsid w:val="009A58FF"/>
    <w:rsid w:val="009B0635"/>
    <w:rsid w:val="009B0934"/>
    <w:rsid w:val="009C7A42"/>
    <w:rsid w:val="009F3848"/>
    <w:rsid w:val="009F4B08"/>
    <w:rsid w:val="00A04064"/>
    <w:rsid w:val="00A103A2"/>
    <w:rsid w:val="00A1437D"/>
    <w:rsid w:val="00A21BBD"/>
    <w:rsid w:val="00A22800"/>
    <w:rsid w:val="00A2335C"/>
    <w:rsid w:val="00A25D17"/>
    <w:rsid w:val="00A34811"/>
    <w:rsid w:val="00A35049"/>
    <w:rsid w:val="00A35EDA"/>
    <w:rsid w:val="00A40B18"/>
    <w:rsid w:val="00A62B1C"/>
    <w:rsid w:val="00A67D87"/>
    <w:rsid w:val="00A8003F"/>
    <w:rsid w:val="00A906EE"/>
    <w:rsid w:val="00A90950"/>
    <w:rsid w:val="00A9337E"/>
    <w:rsid w:val="00A96C16"/>
    <w:rsid w:val="00A974A7"/>
    <w:rsid w:val="00AA47AD"/>
    <w:rsid w:val="00AB01BD"/>
    <w:rsid w:val="00AB4890"/>
    <w:rsid w:val="00AC34A8"/>
    <w:rsid w:val="00AC539E"/>
    <w:rsid w:val="00AD263C"/>
    <w:rsid w:val="00AD4945"/>
    <w:rsid w:val="00AD63B6"/>
    <w:rsid w:val="00AD7A67"/>
    <w:rsid w:val="00AE21D0"/>
    <w:rsid w:val="00AE50B8"/>
    <w:rsid w:val="00AE6EA2"/>
    <w:rsid w:val="00AE7708"/>
    <w:rsid w:val="00AE773C"/>
    <w:rsid w:val="00AF5835"/>
    <w:rsid w:val="00AF6997"/>
    <w:rsid w:val="00B00D81"/>
    <w:rsid w:val="00B01535"/>
    <w:rsid w:val="00B042D8"/>
    <w:rsid w:val="00B04A06"/>
    <w:rsid w:val="00B1015D"/>
    <w:rsid w:val="00B11BAB"/>
    <w:rsid w:val="00B1676D"/>
    <w:rsid w:val="00B24CE0"/>
    <w:rsid w:val="00B25F24"/>
    <w:rsid w:val="00B3137F"/>
    <w:rsid w:val="00B43375"/>
    <w:rsid w:val="00B44BC5"/>
    <w:rsid w:val="00B50755"/>
    <w:rsid w:val="00B55856"/>
    <w:rsid w:val="00B61E7B"/>
    <w:rsid w:val="00B65C40"/>
    <w:rsid w:val="00B65EBB"/>
    <w:rsid w:val="00B70F60"/>
    <w:rsid w:val="00B73E2B"/>
    <w:rsid w:val="00B817FE"/>
    <w:rsid w:val="00B83B3D"/>
    <w:rsid w:val="00B84BF4"/>
    <w:rsid w:val="00B864A7"/>
    <w:rsid w:val="00B87771"/>
    <w:rsid w:val="00B95901"/>
    <w:rsid w:val="00B978E2"/>
    <w:rsid w:val="00BA00C8"/>
    <w:rsid w:val="00BA0810"/>
    <w:rsid w:val="00BA164C"/>
    <w:rsid w:val="00BA21E4"/>
    <w:rsid w:val="00BA26A2"/>
    <w:rsid w:val="00BA43F9"/>
    <w:rsid w:val="00BA7D28"/>
    <w:rsid w:val="00BB6199"/>
    <w:rsid w:val="00BC5B87"/>
    <w:rsid w:val="00BC766E"/>
    <w:rsid w:val="00BC7A1A"/>
    <w:rsid w:val="00BC7B80"/>
    <w:rsid w:val="00BD2182"/>
    <w:rsid w:val="00BE7C61"/>
    <w:rsid w:val="00C046EF"/>
    <w:rsid w:val="00C06F15"/>
    <w:rsid w:val="00C20CC0"/>
    <w:rsid w:val="00C21F47"/>
    <w:rsid w:val="00C2461E"/>
    <w:rsid w:val="00C3015E"/>
    <w:rsid w:val="00C322CF"/>
    <w:rsid w:val="00C3513C"/>
    <w:rsid w:val="00C36C8F"/>
    <w:rsid w:val="00C421B5"/>
    <w:rsid w:val="00C431FC"/>
    <w:rsid w:val="00C523D0"/>
    <w:rsid w:val="00C53486"/>
    <w:rsid w:val="00C70F8F"/>
    <w:rsid w:val="00C712CD"/>
    <w:rsid w:val="00C80F6C"/>
    <w:rsid w:val="00C812E4"/>
    <w:rsid w:val="00C9077F"/>
    <w:rsid w:val="00C941A8"/>
    <w:rsid w:val="00C960E2"/>
    <w:rsid w:val="00C97A4F"/>
    <w:rsid w:val="00CA22FB"/>
    <w:rsid w:val="00CA5B9F"/>
    <w:rsid w:val="00CB4806"/>
    <w:rsid w:val="00CC094E"/>
    <w:rsid w:val="00CC1B4F"/>
    <w:rsid w:val="00CC2F86"/>
    <w:rsid w:val="00CD417E"/>
    <w:rsid w:val="00CD7103"/>
    <w:rsid w:val="00CE493D"/>
    <w:rsid w:val="00CE79D5"/>
    <w:rsid w:val="00CF3E3E"/>
    <w:rsid w:val="00CF477D"/>
    <w:rsid w:val="00D02161"/>
    <w:rsid w:val="00D04605"/>
    <w:rsid w:val="00D101D4"/>
    <w:rsid w:val="00D11B4A"/>
    <w:rsid w:val="00D13795"/>
    <w:rsid w:val="00D14957"/>
    <w:rsid w:val="00D26EBF"/>
    <w:rsid w:val="00D273C6"/>
    <w:rsid w:val="00D27AE2"/>
    <w:rsid w:val="00D314BC"/>
    <w:rsid w:val="00D31B66"/>
    <w:rsid w:val="00D35A5D"/>
    <w:rsid w:val="00D36A39"/>
    <w:rsid w:val="00D371B4"/>
    <w:rsid w:val="00D374D0"/>
    <w:rsid w:val="00D37927"/>
    <w:rsid w:val="00D4194E"/>
    <w:rsid w:val="00D4454A"/>
    <w:rsid w:val="00D47977"/>
    <w:rsid w:val="00D561F1"/>
    <w:rsid w:val="00D61019"/>
    <w:rsid w:val="00D620F7"/>
    <w:rsid w:val="00D62958"/>
    <w:rsid w:val="00D65774"/>
    <w:rsid w:val="00D80A00"/>
    <w:rsid w:val="00D80C00"/>
    <w:rsid w:val="00D811E3"/>
    <w:rsid w:val="00D829EA"/>
    <w:rsid w:val="00D873DD"/>
    <w:rsid w:val="00DA0A84"/>
    <w:rsid w:val="00DA1806"/>
    <w:rsid w:val="00DA3B39"/>
    <w:rsid w:val="00DA4007"/>
    <w:rsid w:val="00DB0ED7"/>
    <w:rsid w:val="00DB0FED"/>
    <w:rsid w:val="00DB254F"/>
    <w:rsid w:val="00DB5F2E"/>
    <w:rsid w:val="00DC07DC"/>
    <w:rsid w:val="00DC1516"/>
    <w:rsid w:val="00DC19A2"/>
    <w:rsid w:val="00DC2D4D"/>
    <w:rsid w:val="00DC6CB9"/>
    <w:rsid w:val="00DC7E23"/>
    <w:rsid w:val="00DD21D7"/>
    <w:rsid w:val="00DD53CF"/>
    <w:rsid w:val="00DE0FAE"/>
    <w:rsid w:val="00DE511E"/>
    <w:rsid w:val="00DE7C15"/>
    <w:rsid w:val="00E00053"/>
    <w:rsid w:val="00E026FD"/>
    <w:rsid w:val="00E02F7E"/>
    <w:rsid w:val="00E07EF2"/>
    <w:rsid w:val="00E1448F"/>
    <w:rsid w:val="00E152F1"/>
    <w:rsid w:val="00E17645"/>
    <w:rsid w:val="00E20266"/>
    <w:rsid w:val="00E2129A"/>
    <w:rsid w:val="00E22EA6"/>
    <w:rsid w:val="00E33E9A"/>
    <w:rsid w:val="00E34519"/>
    <w:rsid w:val="00E353A2"/>
    <w:rsid w:val="00E35C9A"/>
    <w:rsid w:val="00E405B9"/>
    <w:rsid w:val="00E41FE9"/>
    <w:rsid w:val="00E52DBD"/>
    <w:rsid w:val="00E55FF8"/>
    <w:rsid w:val="00E5641C"/>
    <w:rsid w:val="00E56E21"/>
    <w:rsid w:val="00E629B5"/>
    <w:rsid w:val="00E65CFC"/>
    <w:rsid w:val="00E65D1F"/>
    <w:rsid w:val="00E710F8"/>
    <w:rsid w:val="00E71CF3"/>
    <w:rsid w:val="00E72427"/>
    <w:rsid w:val="00E73B65"/>
    <w:rsid w:val="00E75E80"/>
    <w:rsid w:val="00E81BA2"/>
    <w:rsid w:val="00E81C78"/>
    <w:rsid w:val="00E8286F"/>
    <w:rsid w:val="00E836F7"/>
    <w:rsid w:val="00E84B15"/>
    <w:rsid w:val="00E962D0"/>
    <w:rsid w:val="00E9645E"/>
    <w:rsid w:val="00E969F1"/>
    <w:rsid w:val="00EA152B"/>
    <w:rsid w:val="00EA40BF"/>
    <w:rsid w:val="00EA55B5"/>
    <w:rsid w:val="00EA7106"/>
    <w:rsid w:val="00EB45D4"/>
    <w:rsid w:val="00EC2FE7"/>
    <w:rsid w:val="00EC77A5"/>
    <w:rsid w:val="00ED1DA1"/>
    <w:rsid w:val="00ED6D46"/>
    <w:rsid w:val="00ED71F7"/>
    <w:rsid w:val="00EE7996"/>
    <w:rsid w:val="00EF4DA9"/>
    <w:rsid w:val="00F01527"/>
    <w:rsid w:val="00F06A8A"/>
    <w:rsid w:val="00F07123"/>
    <w:rsid w:val="00F078B2"/>
    <w:rsid w:val="00F131DC"/>
    <w:rsid w:val="00F144EA"/>
    <w:rsid w:val="00F25EB7"/>
    <w:rsid w:val="00F30968"/>
    <w:rsid w:val="00F36C6F"/>
    <w:rsid w:val="00F4049E"/>
    <w:rsid w:val="00F43CE1"/>
    <w:rsid w:val="00F502FF"/>
    <w:rsid w:val="00F5262B"/>
    <w:rsid w:val="00F527E9"/>
    <w:rsid w:val="00F536A8"/>
    <w:rsid w:val="00F54A84"/>
    <w:rsid w:val="00F55640"/>
    <w:rsid w:val="00F57ECE"/>
    <w:rsid w:val="00F612CA"/>
    <w:rsid w:val="00F67E52"/>
    <w:rsid w:val="00F712D1"/>
    <w:rsid w:val="00F76DDE"/>
    <w:rsid w:val="00F77163"/>
    <w:rsid w:val="00F80514"/>
    <w:rsid w:val="00F81D57"/>
    <w:rsid w:val="00F8220F"/>
    <w:rsid w:val="00F839C8"/>
    <w:rsid w:val="00F84247"/>
    <w:rsid w:val="00F85A13"/>
    <w:rsid w:val="00F928D8"/>
    <w:rsid w:val="00F93755"/>
    <w:rsid w:val="00FA54A7"/>
    <w:rsid w:val="00FA54F1"/>
    <w:rsid w:val="00FA7386"/>
    <w:rsid w:val="00FA73B7"/>
    <w:rsid w:val="00FB030E"/>
    <w:rsid w:val="00FB271E"/>
    <w:rsid w:val="00FC02C2"/>
    <w:rsid w:val="00FC479E"/>
    <w:rsid w:val="00FC7DAE"/>
    <w:rsid w:val="00FD2E29"/>
    <w:rsid w:val="00FD41DC"/>
    <w:rsid w:val="00FE000F"/>
    <w:rsid w:val="00FE0699"/>
    <w:rsid w:val="00FE1463"/>
    <w:rsid w:val="00FE1A3F"/>
    <w:rsid w:val="00FE225A"/>
    <w:rsid w:val="00FE3760"/>
    <w:rsid w:val="00FE3883"/>
    <w:rsid w:val="00FF0F2F"/>
    <w:rsid w:val="00FF6B77"/>
    <w:rsid w:val="0175575B"/>
    <w:rsid w:val="019131FF"/>
    <w:rsid w:val="01AF01B8"/>
    <w:rsid w:val="021D0538"/>
    <w:rsid w:val="021F20DD"/>
    <w:rsid w:val="02463305"/>
    <w:rsid w:val="028F25BE"/>
    <w:rsid w:val="02DB091E"/>
    <w:rsid w:val="031146A2"/>
    <w:rsid w:val="035B71FF"/>
    <w:rsid w:val="03C25958"/>
    <w:rsid w:val="043B5660"/>
    <w:rsid w:val="04581298"/>
    <w:rsid w:val="045B52FD"/>
    <w:rsid w:val="046C2DD6"/>
    <w:rsid w:val="04F14FC6"/>
    <w:rsid w:val="05052D3C"/>
    <w:rsid w:val="05AC5E24"/>
    <w:rsid w:val="06E3355B"/>
    <w:rsid w:val="070C646B"/>
    <w:rsid w:val="07D6223C"/>
    <w:rsid w:val="07D770C4"/>
    <w:rsid w:val="07EB78A5"/>
    <w:rsid w:val="08CA1D4D"/>
    <w:rsid w:val="08D94D69"/>
    <w:rsid w:val="08F40088"/>
    <w:rsid w:val="090A136C"/>
    <w:rsid w:val="095D6BD7"/>
    <w:rsid w:val="096A48D6"/>
    <w:rsid w:val="0A92642D"/>
    <w:rsid w:val="0AC41E4E"/>
    <w:rsid w:val="0B2A7441"/>
    <w:rsid w:val="0B436CAA"/>
    <w:rsid w:val="0B655FB1"/>
    <w:rsid w:val="0B745622"/>
    <w:rsid w:val="0BA54B25"/>
    <w:rsid w:val="0C7144B0"/>
    <w:rsid w:val="0CA527CF"/>
    <w:rsid w:val="0CDB2282"/>
    <w:rsid w:val="0CE15BE1"/>
    <w:rsid w:val="0CEC1D53"/>
    <w:rsid w:val="0CFB6623"/>
    <w:rsid w:val="0DA617F3"/>
    <w:rsid w:val="0DA707B9"/>
    <w:rsid w:val="0E5B0CC6"/>
    <w:rsid w:val="0E6525F2"/>
    <w:rsid w:val="0ED2420F"/>
    <w:rsid w:val="0EE726EB"/>
    <w:rsid w:val="0F697E1D"/>
    <w:rsid w:val="0F753CDC"/>
    <w:rsid w:val="0F964CA7"/>
    <w:rsid w:val="0FB233F8"/>
    <w:rsid w:val="0FBA6E40"/>
    <w:rsid w:val="100658D9"/>
    <w:rsid w:val="10183082"/>
    <w:rsid w:val="102B7992"/>
    <w:rsid w:val="103E2B3A"/>
    <w:rsid w:val="104D13D7"/>
    <w:rsid w:val="104E0868"/>
    <w:rsid w:val="106A3906"/>
    <w:rsid w:val="106F2C99"/>
    <w:rsid w:val="109C6640"/>
    <w:rsid w:val="113403E1"/>
    <w:rsid w:val="113D1191"/>
    <w:rsid w:val="11A654C9"/>
    <w:rsid w:val="11EB284B"/>
    <w:rsid w:val="12074DCC"/>
    <w:rsid w:val="12B70BBB"/>
    <w:rsid w:val="12C352AC"/>
    <w:rsid w:val="132B0793"/>
    <w:rsid w:val="14600C47"/>
    <w:rsid w:val="151A19FA"/>
    <w:rsid w:val="159F205F"/>
    <w:rsid w:val="15AC65F9"/>
    <w:rsid w:val="16A61FF6"/>
    <w:rsid w:val="1723033B"/>
    <w:rsid w:val="173765C2"/>
    <w:rsid w:val="17626721"/>
    <w:rsid w:val="184C193E"/>
    <w:rsid w:val="18607D2C"/>
    <w:rsid w:val="18BE1109"/>
    <w:rsid w:val="18D86F25"/>
    <w:rsid w:val="199B650B"/>
    <w:rsid w:val="1A3246CA"/>
    <w:rsid w:val="1A560DFA"/>
    <w:rsid w:val="1AA3548A"/>
    <w:rsid w:val="1B302F55"/>
    <w:rsid w:val="1C13467A"/>
    <w:rsid w:val="1C72278E"/>
    <w:rsid w:val="1C836B7C"/>
    <w:rsid w:val="1CF2178D"/>
    <w:rsid w:val="1D72785F"/>
    <w:rsid w:val="1E5225FF"/>
    <w:rsid w:val="1E657F38"/>
    <w:rsid w:val="1ECB541B"/>
    <w:rsid w:val="1F036180"/>
    <w:rsid w:val="1F361703"/>
    <w:rsid w:val="1F5C335C"/>
    <w:rsid w:val="1FA40756"/>
    <w:rsid w:val="1FE211BF"/>
    <w:rsid w:val="204A768C"/>
    <w:rsid w:val="20504299"/>
    <w:rsid w:val="2078002E"/>
    <w:rsid w:val="20E144BB"/>
    <w:rsid w:val="214A626B"/>
    <w:rsid w:val="21513F1F"/>
    <w:rsid w:val="21A7017A"/>
    <w:rsid w:val="22351BA6"/>
    <w:rsid w:val="228A6DCD"/>
    <w:rsid w:val="22E44B35"/>
    <w:rsid w:val="234B7F91"/>
    <w:rsid w:val="23766D7D"/>
    <w:rsid w:val="23C20DD9"/>
    <w:rsid w:val="23F91702"/>
    <w:rsid w:val="23FC4836"/>
    <w:rsid w:val="24640257"/>
    <w:rsid w:val="24B9001B"/>
    <w:rsid w:val="24F6052F"/>
    <w:rsid w:val="251129DC"/>
    <w:rsid w:val="25664BAC"/>
    <w:rsid w:val="25B42CA8"/>
    <w:rsid w:val="25CD1248"/>
    <w:rsid w:val="26287F7C"/>
    <w:rsid w:val="26304150"/>
    <w:rsid w:val="26436521"/>
    <w:rsid w:val="264C191C"/>
    <w:rsid w:val="26872877"/>
    <w:rsid w:val="26940E46"/>
    <w:rsid w:val="275E718D"/>
    <w:rsid w:val="277B7B49"/>
    <w:rsid w:val="277D4D97"/>
    <w:rsid w:val="27D2490C"/>
    <w:rsid w:val="27F01D48"/>
    <w:rsid w:val="283A7ADF"/>
    <w:rsid w:val="287269E1"/>
    <w:rsid w:val="2885633D"/>
    <w:rsid w:val="28A33E34"/>
    <w:rsid w:val="28C41638"/>
    <w:rsid w:val="28E94900"/>
    <w:rsid w:val="290B259E"/>
    <w:rsid w:val="291173A8"/>
    <w:rsid w:val="295E717B"/>
    <w:rsid w:val="29793B79"/>
    <w:rsid w:val="29D32514"/>
    <w:rsid w:val="29DF2CC3"/>
    <w:rsid w:val="2A363DAC"/>
    <w:rsid w:val="2AB800FC"/>
    <w:rsid w:val="2ABB0369"/>
    <w:rsid w:val="2B8E304B"/>
    <w:rsid w:val="2BC8243D"/>
    <w:rsid w:val="2C6A553C"/>
    <w:rsid w:val="2C7036E8"/>
    <w:rsid w:val="2C7561C7"/>
    <w:rsid w:val="2CE41904"/>
    <w:rsid w:val="2D022F62"/>
    <w:rsid w:val="2D2D7E99"/>
    <w:rsid w:val="2D483BB8"/>
    <w:rsid w:val="2D52039E"/>
    <w:rsid w:val="2DEE4565"/>
    <w:rsid w:val="2DEF5AC1"/>
    <w:rsid w:val="2DF553DD"/>
    <w:rsid w:val="2E6261E1"/>
    <w:rsid w:val="2F046116"/>
    <w:rsid w:val="2F4A22BB"/>
    <w:rsid w:val="2FB559FE"/>
    <w:rsid w:val="2FB67D46"/>
    <w:rsid w:val="306208B2"/>
    <w:rsid w:val="307B6A23"/>
    <w:rsid w:val="307C4F5C"/>
    <w:rsid w:val="31321F5F"/>
    <w:rsid w:val="313644F1"/>
    <w:rsid w:val="31A14473"/>
    <w:rsid w:val="31FA3186"/>
    <w:rsid w:val="321C78EB"/>
    <w:rsid w:val="32631887"/>
    <w:rsid w:val="329E48B9"/>
    <w:rsid w:val="33052468"/>
    <w:rsid w:val="33496B25"/>
    <w:rsid w:val="33D81574"/>
    <w:rsid w:val="33DF314D"/>
    <w:rsid w:val="33FB5E86"/>
    <w:rsid w:val="34011CC3"/>
    <w:rsid w:val="34216006"/>
    <w:rsid w:val="34765399"/>
    <w:rsid w:val="34826E7D"/>
    <w:rsid w:val="34FC50E7"/>
    <w:rsid w:val="34FE04AD"/>
    <w:rsid w:val="353749EF"/>
    <w:rsid w:val="35C9639D"/>
    <w:rsid w:val="35E9649D"/>
    <w:rsid w:val="35F32B66"/>
    <w:rsid w:val="361939E3"/>
    <w:rsid w:val="36330748"/>
    <w:rsid w:val="363C0BB3"/>
    <w:rsid w:val="36450BE7"/>
    <w:rsid w:val="36626C56"/>
    <w:rsid w:val="367715BA"/>
    <w:rsid w:val="367E5410"/>
    <w:rsid w:val="368279F8"/>
    <w:rsid w:val="36A37579"/>
    <w:rsid w:val="36B538EA"/>
    <w:rsid w:val="36BB63CF"/>
    <w:rsid w:val="37CA3E53"/>
    <w:rsid w:val="386F7985"/>
    <w:rsid w:val="390D6482"/>
    <w:rsid w:val="39143EF1"/>
    <w:rsid w:val="39562604"/>
    <w:rsid w:val="395A0102"/>
    <w:rsid w:val="396A5AE1"/>
    <w:rsid w:val="399B638D"/>
    <w:rsid w:val="39B8426A"/>
    <w:rsid w:val="39FD69ED"/>
    <w:rsid w:val="3A047CC4"/>
    <w:rsid w:val="3AC26018"/>
    <w:rsid w:val="3AED5C5D"/>
    <w:rsid w:val="3AF37B66"/>
    <w:rsid w:val="3B6E62D5"/>
    <w:rsid w:val="3BE40F4D"/>
    <w:rsid w:val="3BE525E0"/>
    <w:rsid w:val="3CB109D0"/>
    <w:rsid w:val="3D0924FD"/>
    <w:rsid w:val="3D65578A"/>
    <w:rsid w:val="3D722708"/>
    <w:rsid w:val="3DA75047"/>
    <w:rsid w:val="3DC72720"/>
    <w:rsid w:val="3DDC33FF"/>
    <w:rsid w:val="3E001221"/>
    <w:rsid w:val="3E0A6C81"/>
    <w:rsid w:val="3E0C1E9B"/>
    <w:rsid w:val="3EA306AB"/>
    <w:rsid w:val="3EDD057D"/>
    <w:rsid w:val="3EE767DF"/>
    <w:rsid w:val="3EF175FE"/>
    <w:rsid w:val="3F1F704D"/>
    <w:rsid w:val="3F313035"/>
    <w:rsid w:val="3F913593"/>
    <w:rsid w:val="3F9C499C"/>
    <w:rsid w:val="3FB85276"/>
    <w:rsid w:val="3FD92E75"/>
    <w:rsid w:val="3FFC2F4A"/>
    <w:rsid w:val="406F3C60"/>
    <w:rsid w:val="40B249FF"/>
    <w:rsid w:val="40F70667"/>
    <w:rsid w:val="414D669D"/>
    <w:rsid w:val="420116DD"/>
    <w:rsid w:val="420349B8"/>
    <w:rsid w:val="42802F3F"/>
    <w:rsid w:val="42970E0F"/>
    <w:rsid w:val="42C12884"/>
    <w:rsid w:val="43FD2445"/>
    <w:rsid w:val="44C016E4"/>
    <w:rsid w:val="44D36D61"/>
    <w:rsid w:val="44FD2315"/>
    <w:rsid w:val="45056225"/>
    <w:rsid w:val="45744F27"/>
    <w:rsid w:val="45EA382B"/>
    <w:rsid w:val="465F077B"/>
    <w:rsid w:val="473253AC"/>
    <w:rsid w:val="478604B1"/>
    <w:rsid w:val="47937609"/>
    <w:rsid w:val="47A40416"/>
    <w:rsid w:val="47C27CB0"/>
    <w:rsid w:val="47C66870"/>
    <w:rsid w:val="47CF7160"/>
    <w:rsid w:val="47F67061"/>
    <w:rsid w:val="485B34CD"/>
    <w:rsid w:val="48683BF9"/>
    <w:rsid w:val="48FA371A"/>
    <w:rsid w:val="4A0D3F70"/>
    <w:rsid w:val="4A43198B"/>
    <w:rsid w:val="4A4F5A42"/>
    <w:rsid w:val="4A77586D"/>
    <w:rsid w:val="4AD601E3"/>
    <w:rsid w:val="4AFA0FDB"/>
    <w:rsid w:val="4B0138E4"/>
    <w:rsid w:val="4B332F45"/>
    <w:rsid w:val="4B9B734C"/>
    <w:rsid w:val="4C3A7CD9"/>
    <w:rsid w:val="4D3B1D65"/>
    <w:rsid w:val="4D950B44"/>
    <w:rsid w:val="4DB934D2"/>
    <w:rsid w:val="4DE860EE"/>
    <w:rsid w:val="4DF8114A"/>
    <w:rsid w:val="4E0C5452"/>
    <w:rsid w:val="4E693DE1"/>
    <w:rsid w:val="4EB8258D"/>
    <w:rsid w:val="4EEF28A8"/>
    <w:rsid w:val="4F2E0CBD"/>
    <w:rsid w:val="4F513CC6"/>
    <w:rsid w:val="4F600B53"/>
    <w:rsid w:val="4FA35B81"/>
    <w:rsid w:val="4FE31490"/>
    <w:rsid w:val="50156B04"/>
    <w:rsid w:val="50857C6E"/>
    <w:rsid w:val="50916202"/>
    <w:rsid w:val="50EE5394"/>
    <w:rsid w:val="514B181D"/>
    <w:rsid w:val="51AB762C"/>
    <w:rsid w:val="52482F23"/>
    <w:rsid w:val="52E74A38"/>
    <w:rsid w:val="533271B7"/>
    <w:rsid w:val="53863FCC"/>
    <w:rsid w:val="53FD0DBF"/>
    <w:rsid w:val="541961E9"/>
    <w:rsid w:val="54253361"/>
    <w:rsid w:val="5496798A"/>
    <w:rsid w:val="54CB6CEA"/>
    <w:rsid w:val="552E7163"/>
    <w:rsid w:val="553060BC"/>
    <w:rsid w:val="55F96B94"/>
    <w:rsid w:val="56317BB4"/>
    <w:rsid w:val="56850D7C"/>
    <w:rsid w:val="56DF792A"/>
    <w:rsid w:val="570A6116"/>
    <w:rsid w:val="573A074B"/>
    <w:rsid w:val="573A4826"/>
    <w:rsid w:val="57923B32"/>
    <w:rsid w:val="57C6566B"/>
    <w:rsid w:val="58140906"/>
    <w:rsid w:val="58196892"/>
    <w:rsid w:val="58386A9F"/>
    <w:rsid w:val="5871244D"/>
    <w:rsid w:val="587E7C1A"/>
    <w:rsid w:val="58A2797C"/>
    <w:rsid w:val="59DF34D7"/>
    <w:rsid w:val="5A021F39"/>
    <w:rsid w:val="5AE71270"/>
    <w:rsid w:val="5B3C4666"/>
    <w:rsid w:val="5B493B58"/>
    <w:rsid w:val="5B530E41"/>
    <w:rsid w:val="5B566D39"/>
    <w:rsid w:val="5B697233"/>
    <w:rsid w:val="5B762DE2"/>
    <w:rsid w:val="5B77733C"/>
    <w:rsid w:val="5C2523BE"/>
    <w:rsid w:val="5C4E53AA"/>
    <w:rsid w:val="5CF73872"/>
    <w:rsid w:val="5CFA0561"/>
    <w:rsid w:val="5D0B27DD"/>
    <w:rsid w:val="5D6F6193"/>
    <w:rsid w:val="5D7D659C"/>
    <w:rsid w:val="5D916CF9"/>
    <w:rsid w:val="5D92149D"/>
    <w:rsid w:val="5DB259A9"/>
    <w:rsid w:val="5E436DB6"/>
    <w:rsid w:val="5E8D755E"/>
    <w:rsid w:val="5ED751C8"/>
    <w:rsid w:val="5EF16340"/>
    <w:rsid w:val="5F1051EE"/>
    <w:rsid w:val="5F9F5D51"/>
    <w:rsid w:val="60F65E35"/>
    <w:rsid w:val="61047BA8"/>
    <w:rsid w:val="61180098"/>
    <w:rsid w:val="612E2EBF"/>
    <w:rsid w:val="61360270"/>
    <w:rsid w:val="61546993"/>
    <w:rsid w:val="616E621D"/>
    <w:rsid w:val="61CE7426"/>
    <w:rsid w:val="61DC035F"/>
    <w:rsid w:val="61E53B0E"/>
    <w:rsid w:val="622E423F"/>
    <w:rsid w:val="6240082A"/>
    <w:rsid w:val="624D59CF"/>
    <w:rsid w:val="626369F7"/>
    <w:rsid w:val="62A70930"/>
    <w:rsid w:val="62CD5238"/>
    <w:rsid w:val="62D373E3"/>
    <w:rsid w:val="63612322"/>
    <w:rsid w:val="6391363E"/>
    <w:rsid w:val="63B06B7E"/>
    <w:rsid w:val="645B6D69"/>
    <w:rsid w:val="64BD31AF"/>
    <w:rsid w:val="64F027C6"/>
    <w:rsid w:val="65863B22"/>
    <w:rsid w:val="659F00A5"/>
    <w:rsid w:val="65E16732"/>
    <w:rsid w:val="66804769"/>
    <w:rsid w:val="66A80B55"/>
    <w:rsid w:val="66EA060B"/>
    <w:rsid w:val="677869D7"/>
    <w:rsid w:val="679F62C2"/>
    <w:rsid w:val="67F56D1B"/>
    <w:rsid w:val="683D18DA"/>
    <w:rsid w:val="687873A6"/>
    <w:rsid w:val="68BB3CC9"/>
    <w:rsid w:val="68E275C7"/>
    <w:rsid w:val="68E625D4"/>
    <w:rsid w:val="6911234C"/>
    <w:rsid w:val="69615E3D"/>
    <w:rsid w:val="6A163590"/>
    <w:rsid w:val="6A1F74C1"/>
    <w:rsid w:val="6A897846"/>
    <w:rsid w:val="6A9A6460"/>
    <w:rsid w:val="6AB03D9C"/>
    <w:rsid w:val="6B0E34C0"/>
    <w:rsid w:val="6B176EDE"/>
    <w:rsid w:val="6B200BE5"/>
    <w:rsid w:val="6B284917"/>
    <w:rsid w:val="6B663334"/>
    <w:rsid w:val="6B8A6057"/>
    <w:rsid w:val="6C0946F0"/>
    <w:rsid w:val="6C790CED"/>
    <w:rsid w:val="6D003B6F"/>
    <w:rsid w:val="6D354706"/>
    <w:rsid w:val="6D50725A"/>
    <w:rsid w:val="6D680F15"/>
    <w:rsid w:val="6D772804"/>
    <w:rsid w:val="6DE43DAA"/>
    <w:rsid w:val="6E6153F5"/>
    <w:rsid w:val="6E716F16"/>
    <w:rsid w:val="6EA52101"/>
    <w:rsid w:val="6EAE5BC1"/>
    <w:rsid w:val="6EDB690A"/>
    <w:rsid w:val="6EE81000"/>
    <w:rsid w:val="6F68684E"/>
    <w:rsid w:val="6FB67ECE"/>
    <w:rsid w:val="709A43FF"/>
    <w:rsid w:val="70AE672F"/>
    <w:rsid w:val="70E84A51"/>
    <w:rsid w:val="71506D25"/>
    <w:rsid w:val="723C3FAF"/>
    <w:rsid w:val="728C3C13"/>
    <w:rsid w:val="73AE336F"/>
    <w:rsid w:val="74516D29"/>
    <w:rsid w:val="7466305C"/>
    <w:rsid w:val="747E45B8"/>
    <w:rsid w:val="74883058"/>
    <w:rsid w:val="74A07265"/>
    <w:rsid w:val="754F07E6"/>
    <w:rsid w:val="75BF326A"/>
    <w:rsid w:val="76335732"/>
    <w:rsid w:val="763A6488"/>
    <w:rsid w:val="764E7820"/>
    <w:rsid w:val="76A47761"/>
    <w:rsid w:val="76B143A2"/>
    <w:rsid w:val="76B45A05"/>
    <w:rsid w:val="76B94C61"/>
    <w:rsid w:val="775859E5"/>
    <w:rsid w:val="77A71FD5"/>
    <w:rsid w:val="77C82108"/>
    <w:rsid w:val="78372736"/>
    <w:rsid w:val="78572406"/>
    <w:rsid w:val="785A5787"/>
    <w:rsid w:val="78980C11"/>
    <w:rsid w:val="78DE5F7B"/>
    <w:rsid w:val="78F22139"/>
    <w:rsid w:val="78FB7C1F"/>
    <w:rsid w:val="791C46C8"/>
    <w:rsid w:val="792B368F"/>
    <w:rsid w:val="79657894"/>
    <w:rsid w:val="79A80ACF"/>
    <w:rsid w:val="79AF4773"/>
    <w:rsid w:val="79E7377C"/>
    <w:rsid w:val="79EC1114"/>
    <w:rsid w:val="7A2270DF"/>
    <w:rsid w:val="7A686E93"/>
    <w:rsid w:val="7AD6402E"/>
    <w:rsid w:val="7AF215B4"/>
    <w:rsid w:val="7BA74C3C"/>
    <w:rsid w:val="7BAA5772"/>
    <w:rsid w:val="7BB578D2"/>
    <w:rsid w:val="7C3212A7"/>
    <w:rsid w:val="7C503F01"/>
    <w:rsid w:val="7C5458A0"/>
    <w:rsid w:val="7C993939"/>
    <w:rsid w:val="7CE419B6"/>
    <w:rsid w:val="7D0636D7"/>
    <w:rsid w:val="7DFF0325"/>
    <w:rsid w:val="7E4B1C4F"/>
    <w:rsid w:val="7EC51833"/>
    <w:rsid w:val="7EF24F11"/>
    <w:rsid w:val="7F6F6AD7"/>
    <w:rsid w:val="7FEA6219"/>
    <w:rsid w:val="7FEF04B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iPriority="99" w:name="Note Heading"/>
    <w:lsdException w:qFormat="1"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47"/>
    <w:qFormat/>
    <w:uiPriority w:val="0"/>
    <w:pPr>
      <w:keepNext/>
      <w:keepLines/>
      <w:tabs>
        <w:tab w:val="left" w:pos="432"/>
      </w:tabs>
      <w:spacing w:afterLines="50"/>
      <w:ind w:left="432" w:hanging="432"/>
      <w:outlineLvl w:val="0"/>
    </w:pPr>
    <w:rPr>
      <w:rFonts w:ascii="宋体" w:hAnsi="宋体"/>
      <w:b/>
      <w:bCs/>
      <w:kern w:val="44"/>
      <w:sz w:val="24"/>
      <w:szCs w:val="44"/>
    </w:rPr>
  </w:style>
  <w:style w:type="paragraph" w:styleId="5">
    <w:name w:val="heading 2"/>
    <w:basedOn w:val="1"/>
    <w:next w:val="1"/>
    <w:link w:val="51"/>
    <w:qFormat/>
    <w:uiPriority w:val="0"/>
    <w:pPr>
      <w:keepNext/>
      <w:keepLines/>
      <w:tabs>
        <w:tab w:val="left" w:pos="576"/>
      </w:tabs>
      <w:spacing w:before="260" w:after="260" w:line="413" w:lineRule="auto"/>
      <w:ind w:left="576" w:hanging="576"/>
      <w:outlineLvl w:val="1"/>
    </w:pPr>
    <w:rPr>
      <w:rFonts w:ascii="Arial" w:hAnsi="Arial" w:eastAsia="黑体"/>
      <w:b/>
      <w:bCs/>
      <w:sz w:val="32"/>
      <w:szCs w:val="32"/>
    </w:rPr>
  </w:style>
  <w:style w:type="paragraph" w:styleId="6">
    <w:name w:val="heading 3"/>
    <w:basedOn w:val="1"/>
    <w:next w:val="1"/>
    <w:link w:val="61"/>
    <w:qFormat/>
    <w:uiPriority w:val="0"/>
    <w:pPr>
      <w:keepNext/>
      <w:keepLines/>
      <w:tabs>
        <w:tab w:val="left" w:pos="720"/>
      </w:tabs>
      <w:spacing w:before="260" w:after="260" w:line="413" w:lineRule="auto"/>
      <w:ind w:left="720" w:hanging="720"/>
      <w:outlineLvl w:val="2"/>
    </w:pPr>
    <w:rPr>
      <w:b/>
      <w:bCs/>
      <w:sz w:val="32"/>
      <w:szCs w:val="32"/>
    </w:rPr>
  </w:style>
  <w:style w:type="paragraph" w:styleId="7">
    <w:name w:val="heading 4"/>
    <w:basedOn w:val="1"/>
    <w:next w:val="1"/>
    <w:link w:val="63"/>
    <w:qFormat/>
    <w:uiPriority w:val="0"/>
    <w:pPr>
      <w:keepNext/>
      <w:keepLines/>
      <w:tabs>
        <w:tab w:val="left" w:pos="864"/>
      </w:tabs>
      <w:spacing w:before="280" w:after="290" w:line="372" w:lineRule="auto"/>
      <w:ind w:left="864" w:hanging="864"/>
      <w:outlineLvl w:val="3"/>
    </w:pPr>
    <w:rPr>
      <w:rFonts w:ascii="Arial" w:hAnsi="Arial" w:eastAsia="黑体"/>
      <w:b/>
      <w:bCs/>
      <w:sz w:val="28"/>
      <w:szCs w:val="28"/>
    </w:rPr>
  </w:style>
  <w:style w:type="paragraph" w:styleId="8">
    <w:name w:val="heading 5"/>
    <w:basedOn w:val="1"/>
    <w:next w:val="1"/>
    <w:link w:val="49"/>
    <w:qFormat/>
    <w:uiPriority w:val="0"/>
    <w:pPr>
      <w:keepNext/>
      <w:keepLines/>
      <w:tabs>
        <w:tab w:val="left" w:pos="1008"/>
      </w:tabs>
      <w:spacing w:before="280" w:after="290" w:line="372" w:lineRule="auto"/>
      <w:ind w:left="1008" w:hanging="1008"/>
      <w:outlineLvl w:val="4"/>
    </w:pPr>
    <w:rPr>
      <w:b/>
      <w:bCs/>
      <w:sz w:val="28"/>
      <w:szCs w:val="28"/>
    </w:rPr>
  </w:style>
  <w:style w:type="paragraph" w:styleId="9">
    <w:name w:val="heading 6"/>
    <w:basedOn w:val="1"/>
    <w:next w:val="1"/>
    <w:link w:val="53"/>
    <w:qFormat/>
    <w:uiPriority w:val="0"/>
    <w:pPr>
      <w:keepNext/>
      <w:keepLines/>
      <w:tabs>
        <w:tab w:val="left" w:pos="1152"/>
      </w:tabs>
      <w:spacing w:before="240" w:after="64" w:line="317" w:lineRule="auto"/>
      <w:ind w:left="1152" w:hanging="1152"/>
      <w:outlineLvl w:val="5"/>
    </w:pPr>
    <w:rPr>
      <w:rFonts w:ascii="Arial" w:hAnsi="Arial" w:eastAsia="黑体"/>
      <w:b/>
      <w:bCs/>
      <w:sz w:val="24"/>
    </w:rPr>
  </w:style>
  <w:style w:type="paragraph" w:styleId="10">
    <w:name w:val="heading 7"/>
    <w:basedOn w:val="1"/>
    <w:next w:val="1"/>
    <w:link w:val="59"/>
    <w:qFormat/>
    <w:uiPriority w:val="0"/>
    <w:pPr>
      <w:keepNext/>
      <w:keepLines/>
      <w:tabs>
        <w:tab w:val="left" w:pos="1296"/>
      </w:tabs>
      <w:spacing w:before="240" w:after="64" w:line="317" w:lineRule="auto"/>
      <w:ind w:left="1296" w:hanging="1296"/>
      <w:outlineLvl w:val="6"/>
    </w:pPr>
    <w:rPr>
      <w:b/>
      <w:bCs/>
      <w:sz w:val="24"/>
    </w:rPr>
  </w:style>
  <w:style w:type="paragraph" w:styleId="11">
    <w:name w:val="heading 8"/>
    <w:basedOn w:val="1"/>
    <w:next w:val="1"/>
    <w:link w:val="57"/>
    <w:qFormat/>
    <w:uiPriority w:val="0"/>
    <w:pPr>
      <w:keepNext/>
      <w:keepLines/>
      <w:tabs>
        <w:tab w:val="left" w:pos="1440"/>
      </w:tabs>
      <w:spacing w:before="240" w:after="64" w:line="317" w:lineRule="auto"/>
      <w:ind w:left="1440" w:hanging="1440"/>
      <w:outlineLvl w:val="7"/>
    </w:pPr>
    <w:rPr>
      <w:rFonts w:ascii="Arial" w:hAnsi="Arial" w:eastAsia="黑体"/>
      <w:sz w:val="24"/>
    </w:rPr>
  </w:style>
  <w:style w:type="paragraph" w:styleId="12">
    <w:name w:val="heading 9"/>
    <w:basedOn w:val="1"/>
    <w:next w:val="1"/>
    <w:link w:val="52"/>
    <w:qFormat/>
    <w:uiPriority w:val="0"/>
    <w:pPr>
      <w:keepNext/>
      <w:keepLines/>
      <w:tabs>
        <w:tab w:val="left" w:pos="1584"/>
      </w:tabs>
      <w:spacing w:before="240" w:after="64" w:line="317" w:lineRule="auto"/>
      <w:ind w:left="1584" w:hanging="1584"/>
      <w:outlineLvl w:val="8"/>
    </w:pPr>
    <w:rPr>
      <w:rFonts w:ascii="Arial" w:hAnsi="Arial" w:eastAsia="黑体"/>
      <w:szCs w:val="21"/>
    </w:rPr>
  </w:style>
  <w:style w:type="character" w:default="1" w:styleId="37">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0"/>
    <w:pPr>
      <w:spacing w:after="120" w:line="240" w:lineRule="auto"/>
      <w:ind w:left="420" w:leftChars="200" w:firstLine="420" w:firstLineChars="200"/>
    </w:pPr>
    <w:rPr>
      <w:rFonts w:hint="default"/>
      <w:sz w:val="30"/>
      <w:szCs w:val="24"/>
    </w:rPr>
  </w:style>
  <w:style w:type="paragraph" w:styleId="3">
    <w:name w:val="Body Text 2"/>
    <w:basedOn w:val="1"/>
    <w:unhideWhenUsed/>
    <w:qFormat/>
    <w:uiPriority w:val="0"/>
    <w:pPr>
      <w:shd w:val="clear" w:color="auto" w:fill="FFFFFF"/>
      <w:spacing w:line="500" w:lineRule="exact"/>
      <w:ind w:right="21"/>
    </w:pPr>
    <w:rPr>
      <w:rFonts w:hint="default" w:eastAsia="楷体_GB2312"/>
      <w:snapToGrid w:val="0"/>
      <w:kern w:val="0"/>
      <w:sz w:val="30"/>
      <w:szCs w:val="24"/>
    </w:rPr>
  </w:style>
  <w:style w:type="paragraph" w:styleId="13">
    <w:name w:val="toc 7"/>
    <w:basedOn w:val="1"/>
    <w:next w:val="1"/>
    <w:qFormat/>
    <w:uiPriority w:val="0"/>
    <w:pPr>
      <w:ind w:left="1260"/>
      <w:jc w:val="left"/>
    </w:pPr>
    <w:rPr>
      <w:sz w:val="18"/>
      <w:szCs w:val="18"/>
    </w:rPr>
  </w:style>
  <w:style w:type="paragraph" w:styleId="14">
    <w:name w:val="List Number 2"/>
    <w:basedOn w:val="1"/>
    <w:semiHidden/>
    <w:unhideWhenUsed/>
    <w:qFormat/>
    <w:uiPriority w:val="99"/>
    <w:pPr>
      <w:numPr>
        <w:ilvl w:val="0"/>
        <w:numId w:val="1"/>
      </w:numPr>
    </w:pPr>
  </w:style>
  <w:style w:type="paragraph" w:styleId="15">
    <w:name w:val="annotation text"/>
    <w:basedOn w:val="1"/>
    <w:link w:val="46"/>
    <w:qFormat/>
    <w:uiPriority w:val="0"/>
    <w:pPr>
      <w:jc w:val="left"/>
    </w:pPr>
  </w:style>
  <w:style w:type="paragraph" w:styleId="16">
    <w:name w:val="Body Text"/>
    <w:basedOn w:val="1"/>
    <w:link w:val="45"/>
    <w:unhideWhenUsed/>
    <w:qFormat/>
    <w:uiPriority w:val="0"/>
    <w:pPr>
      <w:spacing w:after="120"/>
    </w:pPr>
  </w:style>
  <w:style w:type="paragraph" w:styleId="17">
    <w:name w:val="Body Text Indent"/>
    <w:basedOn w:val="1"/>
    <w:link w:val="48"/>
    <w:qFormat/>
    <w:uiPriority w:val="0"/>
    <w:pPr>
      <w:snapToGrid w:val="0"/>
      <w:spacing w:before="50" w:line="360" w:lineRule="auto"/>
      <w:ind w:left="640" w:leftChars="305"/>
    </w:pPr>
    <w:rPr>
      <w:rFonts w:ascii="宋体" w:hAnsi="宋体"/>
      <w:color w:val="FF0000"/>
      <w:sz w:val="24"/>
    </w:rPr>
  </w:style>
  <w:style w:type="paragraph" w:styleId="18">
    <w:name w:val="toc 5"/>
    <w:basedOn w:val="1"/>
    <w:next w:val="1"/>
    <w:qFormat/>
    <w:uiPriority w:val="0"/>
    <w:pPr>
      <w:ind w:left="840"/>
      <w:jc w:val="left"/>
    </w:pPr>
    <w:rPr>
      <w:sz w:val="18"/>
      <w:szCs w:val="18"/>
    </w:rPr>
  </w:style>
  <w:style w:type="paragraph" w:styleId="19">
    <w:name w:val="toc 3"/>
    <w:basedOn w:val="1"/>
    <w:next w:val="1"/>
    <w:qFormat/>
    <w:uiPriority w:val="0"/>
    <w:pPr>
      <w:ind w:left="420"/>
      <w:jc w:val="left"/>
    </w:pPr>
    <w:rPr>
      <w:i/>
      <w:iCs/>
      <w:sz w:val="20"/>
      <w:szCs w:val="20"/>
    </w:rPr>
  </w:style>
  <w:style w:type="paragraph" w:styleId="20">
    <w:name w:val="Plain Text"/>
    <w:basedOn w:val="1"/>
    <w:link w:val="44"/>
    <w:qFormat/>
    <w:uiPriority w:val="0"/>
    <w:rPr>
      <w:rFonts w:ascii="宋体" w:hAnsi="Courier New" w:cs="Courier New"/>
      <w:szCs w:val="21"/>
    </w:rPr>
  </w:style>
  <w:style w:type="paragraph" w:styleId="21">
    <w:name w:val="toc 8"/>
    <w:basedOn w:val="1"/>
    <w:next w:val="1"/>
    <w:qFormat/>
    <w:uiPriority w:val="0"/>
    <w:pPr>
      <w:ind w:left="1470"/>
      <w:jc w:val="left"/>
    </w:pPr>
    <w:rPr>
      <w:sz w:val="18"/>
      <w:szCs w:val="18"/>
    </w:rPr>
  </w:style>
  <w:style w:type="paragraph" w:styleId="22">
    <w:name w:val="Date"/>
    <w:basedOn w:val="1"/>
    <w:next w:val="1"/>
    <w:link w:val="56"/>
    <w:qFormat/>
    <w:uiPriority w:val="0"/>
    <w:rPr>
      <w:spacing w:val="22"/>
      <w:sz w:val="28"/>
    </w:rPr>
  </w:style>
  <w:style w:type="paragraph" w:styleId="23">
    <w:name w:val="Body Text Indent 2"/>
    <w:basedOn w:val="1"/>
    <w:link w:val="50"/>
    <w:qFormat/>
    <w:uiPriority w:val="0"/>
    <w:pPr>
      <w:snapToGrid w:val="0"/>
      <w:ind w:left="567"/>
    </w:pPr>
    <w:rPr>
      <w:sz w:val="24"/>
    </w:rPr>
  </w:style>
  <w:style w:type="paragraph" w:styleId="24">
    <w:name w:val="Balloon Text"/>
    <w:basedOn w:val="1"/>
    <w:link w:val="64"/>
    <w:qFormat/>
    <w:uiPriority w:val="0"/>
    <w:rPr>
      <w:sz w:val="18"/>
      <w:szCs w:val="18"/>
    </w:rPr>
  </w:style>
  <w:style w:type="paragraph" w:styleId="25">
    <w:name w:val="footer"/>
    <w:basedOn w:val="1"/>
    <w:link w:val="60"/>
    <w:qFormat/>
    <w:uiPriority w:val="0"/>
    <w:pPr>
      <w:tabs>
        <w:tab w:val="center" w:pos="4153"/>
        <w:tab w:val="right" w:pos="8306"/>
      </w:tabs>
      <w:snapToGrid w:val="0"/>
      <w:jc w:val="left"/>
    </w:pPr>
    <w:rPr>
      <w:sz w:val="18"/>
      <w:szCs w:val="18"/>
    </w:rPr>
  </w:style>
  <w:style w:type="paragraph" w:styleId="26">
    <w:name w:val="header"/>
    <w:basedOn w:val="1"/>
    <w:link w:val="62"/>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0"/>
    <w:pPr>
      <w:tabs>
        <w:tab w:val="left" w:pos="320"/>
        <w:tab w:val="right" w:leader="dot" w:pos="9060"/>
      </w:tabs>
      <w:spacing w:line="360" w:lineRule="auto"/>
      <w:ind w:right="-588" w:rightChars="-280"/>
      <w:jc w:val="left"/>
    </w:pPr>
    <w:rPr>
      <w:b/>
      <w:bCs/>
      <w:caps/>
      <w:sz w:val="24"/>
    </w:rPr>
  </w:style>
  <w:style w:type="paragraph" w:styleId="28">
    <w:name w:val="toc 4"/>
    <w:basedOn w:val="1"/>
    <w:next w:val="1"/>
    <w:qFormat/>
    <w:uiPriority w:val="0"/>
    <w:pPr>
      <w:ind w:left="630"/>
      <w:jc w:val="left"/>
    </w:pPr>
    <w:rPr>
      <w:sz w:val="18"/>
      <w:szCs w:val="18"/>
    </w:rPr>
  </w:style>
  <w:style w:type="paragraph" w:styleId="29">
    <w:name w:val="toc 6"/>
    <w:basedOn w:val="1"/>
    <w:next w:val="1"/>
    <w:qFormat/>
    <w:uiPriority w:val="0"/>
    <w:pPr>
      <w:ind w:left="1050"/>
      <w:jc w:val="left"/>
    </w:pPr>
    <w:rPr>
      <w:sz w:val="18"/>
      <w:szCs w:val="18"/>
    </w:rPr>
  </w:style>
  <w:style w:type="paragraph" w:styleId="30">
    <w:name w:val="Body Text Indent 3"/>
    <w:basedOn w:val="1"/>
    <w:link w:val="55"/>
    <w:qFormat/>
    <w:uiPriority w:val="0"/>
    <w:pPr>
      <w:spacing w:beforeLines="50" w:line="240" w:lineRule="atLeast"/>
      <w:ind w:left="1" w:firstLine="480" w:firstLineChars="200"/>
    </w:pPr>
    <w:rPr>
      <w:rFonts w:ascii="宋体" w:hAnsi="宋体"/>
      <w:sz w:val="24"/>
    </w:rPr>
  </w:style>
  <w:style w:type="paragraph" w:styleId="31">
    <w:name w:val="toc 2"/>
    <w:basedOn w:val="1"/>
    <w:next w:val="1"/>
    <w:qFormat/>
    <w:uiPriority w:val="0"/>
    <w:pPr>
      <w:ind w:left="210"/>
      <w:jc w:val="left"/>
    </w:pPr>
    <w:rPr>
      <w:smallCaps/>
      <w:sz w:val="20"/>
      <w:szCs w:val="20"/>
    </w:rPr>
  </w:style>
  <w:style w:type="paragraph" w:styleId="32">
    <w:name w:val="toc 9"/>
    <w:basedOn w:val="1"/>
    <w:next w:val="1"/>
    <w:qFormat/>
    <w:uiPriority w:val="0"/>
    <w:pPr>
      <w:ind w:left="1680"/>
      <w:jc w:val="left"/>
    </w:pPr>
    <w:rPr>
      <w:sz w:val="18"/>
      <w:szCs w:val="18"/>
    </w:rPr>
  </w:style>
  <w:style w:type="paragraph" w:styleId="33">
    <w:name w:val="Normal (Web)"/>
    <w:basedOn w:val="1"/>
    <w:unhideWhenUsed/>
    <w:qFormat/>
    <w:uiPriority w:val="99"/>
    <w:pPr>
      <w:spacing w:before="0" w:beforeAutospacing="1" w:after="0" w:afterAutospacing="1"/>
      <w:ind w:left="0" w:right="0"/>
      <w:jc w:val="left"/>
    </w:pPr>
    <w:rPr>
      <w:kern w:val="0"/>
      <w:sz w:val="24"/>
      <w:lang w:val="en-US" w:eastAsia="zh-CN" w:bidi="ar"/>
    </w:rPr>
  </w:style>
  <w:style w:type="paragraph" w:styleId="34">
    <w:name w:val="annotation subject"/>
    <w:basedOn w:val="15"/>
    <w:next w:val="15"/>
    <w:link w:val="54"/>
    <w:qFormat/>
    <w:uiPriority w:val="0"/>
    <w:rPr>
      <w:b/>
      <w:bCs/>
    </w:rPr>
  </w:style>
  <w:style w:type="paragraph" w:styleId="35">
    <w:name w:val="Body Text First Indent"/>
    <w:basedOn w:val="16"/>
    <w:link w:val="58"/>
    <w:qFormat/>
    <w:uiPriority w:val="0"/>
    <w:pPr>
      <w:ind w:firstLine="420" w:firstLineChars="100"/>
    </w:pPr>
  </w:style>
  <w:style w:type="character" w:styleId="38">
    <w:name w:val="Strong"/>
    <w:qFormat/>
    <w:uiPriority w:val="0"/>
    <w:rPr>
      <w:b/>
      <w:bCs/>
    </w:rPr>
  </w:style>
  <w:style w:type="character" w:styleId="39">
    <w:name w:val="page number"/>
    <w:basedOn w:val="37"/>
    <w:qFormat/>
    <w:uiPriority w:val="0"/>
  </w:style>
  <w:style w:type="character" w:styleId="40">
    <w:name w:val="FollowedHyperlink"/>
    <w:basedOn w:val="37"/>
    <w:semiHidden/>
    <w:unhideWhenUsed/>
    <w:qFormat/>
    <w:uiPriority w:val="99"/>
    <w:rPr>
      <w:color w:val="000000"/>
      <w:u w:val="none"/>
    </w:rPr>
  </w:style>
  <w:style w:type="character" w:styleId="41">
    <w:name w:val="Hyperlink"/>
    <w:basedOn w:val="37"/>
    <w:qFormat/>
    <w:uiPriority w:val="0"/>
    <w:rPr>
      <w:color w:val="000000"/>
      <w:u w:val="none"/>
    </w:rPr>
  </w:style>
  <w:style w:type="character" w:styleId="42">
    <w:name w:val="HTML Code"/>
    <w:basedOn w:val="37"/>
    <w:semiHidden/>
    <w:unhideWhenUsed/>
    <w:qFormat/>
    <w:uiPriority w:val="99"/>
    <w:rPr>
      <w:rFonts w:ascii="Courier New" w:hAnsi="Courier New"/>
      <w:sz w:val="20"/>
    </w:rPr>
  </w:style>
  <w:style w:type="character" w:styleId="43">
    <w:name w:val="annotation reference"/>
    <w:qFormat/>
    <w:uiPriority w:val="0"/>
    <w:rPr>
      <w:sz w:val="21"/>
      <w:szCs w:val="21"/>
    </w:rPr>
  </w:style>
  <w:style w:type="character" w:customStyle="1" w:styleId="44">
    <w:name w:val="纯文本 字符"/>
    <w:link w:val="20"/>
    <w:qFormat/>
    <w:uiPriority w:val="0"/>
    <w:rPr>
      <w:rFonts w:ascii="宋体" w:hAnsi="Courier New" w:eastAsia="宋体" w:cs="Courier New"/>
      <w:szCs w:val="21"/>
    </w:rPr>
  </w:style>
  <w:style w:type="character" w:customStyle="1" w:styleId="45">
    <w:name w:val="正文文本 字符"/>
    <w:link w:val="16"/>
    <w:semiHidden/>
    <w:qFormat/>
    <w:uiPriority w:val="99"/>
    <w:rPr>
      <w:rFonts w:ascii="Times New Roman" w:hAnsi="Times New Roman" w:eastAsia="宋体" w:cs="Times New Roman"/>
      <w:szCs w:val="24"/>
    </w:rPr>
  </w:style>
  <w:style w:type="character" w:customStyle="1" w:styleId="46">
    <w:name w:val="批注文字 字符"/>
    <w:link w:val="15"/>
    <w:qFormat/>
    <w:uiPriority w:val="0"/>
    <w:rPr>
      <w:rFonts w:ascii="Times New Roman" w:hAnsi="Times New Roman" w:eastAsia="宋体" w:cs="Times New Roman"/>
      <w:szCs w:val="24"/>
    </w:rPr>
  </w:style>
  <w:style w:type="character" w:customStyle="1" w:styleId="47">
    <w:name w:val="标题 1 字符"/>
    <w:link w:val="4"/>
    <w:qFormat/>
    <w:uiPriority w:val="0"/>
    <w:rPr>
      <w:rFonts w:ascii="宋体" w:hAnsi="宋体" w:eastAsia="宋体" w:cs="Times New Roman"/>
      <w:b/>
      <w:bCs/>
      <w:kern w:val="44"/>
      <w:sz w:val="24"/>
      <w:szCs w:val="44"/>
    </w:rPr>
  </w:style>
  <w:style w:type="character" w:customStyle="1" w:styleId="48">
    <w:name w:val="正文文本缩进 字符"/>
    <w:link w:val="17"/>
    <w:qFormat/>
    <w:uiPriority w:val="0"/>
    <w:rPr>
      <w:rFonts w:ascii="宋体" w:hAnsi="宋体" w:eastAsia="宋体" w:cs="Times New Roman"/>
      <w:color w:val="FF0000"/>
      <w:sz w:val="24"/>
      <w:szCs w:val="24"/>
    </w:rPr>
  </w:style>
  <w:style w:type="character" w:customStyle="1" w:styleId="49">
    <w:name w:val="标题 5 字符"/>
    <w:link w:val="8"/>
    <w:qFormat/>
    <w:uiPriority w:val="0"/>
    <w:rPr>
      <w:rFonts w:ascii="Times New Roman" w:hAnsi="Times New Roman" w:eastAsia="宋体" w:cs="Times New Roman"/>
      <w:b/>
      <w:bCs/>
      <w:sz w:val="28"/>
      <w:szCs w:val="28"/>
    </w:rPr>
  </w:style>
  <w:style w:type="character" w:customStyle="1" w:styleId="50">
    <w:name w:val="正文文本缩进 2 字符"/>
    <w:link w:val="23"/>
    <w:qFormat/>
    <w:uiPriority w:val="0"/>
    <w:rPr>
      <w:rFonts w:ascii="Times New Roman" w:hAnsi="Times New Roman" w:eastAsia="宋体" w:cs="Times New Roman"/>
      <w:sz w:val="24"/>
      <w:szCs w:val="24"/>
    </w:rPr>
  </w:style>
  <w:style w:type="character" w:customStyle="1" w:styleId="51">
    <w:name w:val="标题 2 字符"/>
    <w:link w:val="5"/>
    <w:qFormat/>
    <w:uiPriority w:val="0"/>
    <w:rPr>
      <w:rFonts w:ascii="Arial" w:hAnsi="Arial" w:eastAsia="黑体" w:cs="Times New Roman"/>
      <w:b/>
      <w:bCs/>
      <w:sz w:val="32"/>
      <w:szCs w:val="32"/>
    </w:rPr>
  </w:style>
  <w:style w:type="character" w:customStyle="1" w:styleId="52">
    <w:name w:val="标题 9 字符"/>
    <w:link w:val="12"/>
    <w:qFormat/>
    <w:uiPriority w:val="0"/>
    <w:rPr>
      <w:rFonts w:ascii="Arial" w:hAnsi="Arial" w:eastAsia="黑体" w:cs="Times New Roman"/>
      <w:szCs w:val="21"/>
    </w:rPr>
  </w:style>
  <w:style w:type="character" w:customStyle="1" w:styleId="53">
    <w:name w:val="标题 6 字符"/>
    <w:link w:val="9"/>
    <w:qFormat/>
    <w:uiPriority w:val="0"/>
    <w:rPr>
      <w:rFonts w:ascii="Arial" w:hAnsi="Arial" w:eastAsia="黑体" w:cs="Times New Roman"/>
      <w:b/>
      <w:bCs/>
      <w:sz w:val="24"/>
      <w:szCs w:val="24"/>
    </w:rPr>
  </w:style>
  <w:style w:type="character" w:customStyle="1" w:styleId="54">
    <w:name w:val="批注主题 字符"/>
    <w:link w:val="34"/>
    <w:qFormat/>
    <w:uiPriority w:val="0"/>
    <w:rPr>
      <w:rFonts w:ascii="Times New Roman" w:hAnsi="Times New Roman" w:eastAsia="宋体" w:cs="Times New Roman"/>
      <w:b/>
      <w:bCs/>
      <w:szCs w:val="24"/>
    </w:rPr>
  </w:style>
  <w:style w:type="character" w:customStyle="1" w:styleId="55">
    <w:name w:val="正文文本缩进 3 字符"/>
    <w:link w:val="30"/>
    <w:qFormat/>
    <w:uiPriority w:val="0"/>
    <w:rPr>
      <w:rFonts w:ascii="宋体" w:hAnsi="宋体" w:eastAsia="宋体" w:cs="Times New Roman"/>
      <w:sz w:val="24"/>
      <w:szCs w:val="24"/>
    </w:rPr>
  </w:style>
  <w:style w:type="character" w:customStyle="1" w:styleId="56">
    <w:name w:val="日期 字符"/>
    <w:link w:val="22"/>
    <w:qFormat/>
    <w:uiPriority w:val="0"/>
    <w:rPr>
      <w:rFonts w:ascii="Times New Roman" w:hAnsi="Times New Roman" w:eastAsia="宋体" w:cs="Times New Roman"/>
      <w:spacing w:val="22"/>
      <w:sz w:val="28"/>
      <w:szCs w:val="24"/>
    </w:rPr>
  </w:style>
  <w:style w:type="character" w:customStyle="1" w:styleId="57">
    <w:name w:val="标题 8 字符"/>
    <w:link w:val="11"/>
    <w:qFormat/>
    <w:uiPriority w:val="0"/>
    <w:rPr>
      <w:rFonts w:ascii="Arial" w:hAnsi="Arial" w:eastAsia="黑体" w:cs="Times New Roman"/>
      <w:sz w:val="24"/>
      <w:szCs w:val="24"/>
    </w:rPr>
  </w:style>
  <w:style w:type="character" w:customStyle="1" w:styleId="58">
    <w:name w:val="正文首行缩进 字符"/>
    <w:link w:val="35"/>
    <w:qFormat/>
    <w:uiPriority w:val="0"/>
    <w:rPr>
      <w:rFonts w:ascii="Times New Roman" w:hAnsi="Times New Roman" w:eastAsia="宋体" w:cs="Times New Roman"/>
      <w:szCs w:val="24"/>
    </w:rPr>
  </w:style>
  <w:style w:type="character" w:customStyle="1" w:styleId="59">
    <w:name w:val="标题 7 字符"/>
    <w:link w:val="10"/>
    <w:qFormat/>
    <w:uiPriority w:val="0"/>
    <w:rPr>
      <w:rFonts w:ascii="Times New Roman" w:hAnsi="Times New Roman" w:eastAsia="宋体" w:cs="Times New Roman"/>
      <w:b/>
      <w:bCs/>
      <w:sz w:val="24"/>
      <w:szCs w:val="24"/>
    </w:rPr>
  </w:style>
  <w:style w:type="character" w:customStyle="1" w:styleId="60">
    <w:name w:val="页脚 字符"/>
    <w:link w:val="25"/>
    <w:qFormat/>
    <w:uiPriority w:val="0"/>
    <w:rPr>
      <w:rFonts w:ascii="Times New Roman" w:hAnsi="Times New Roman" w:eastAsia="宋体" w:cs="Times New Roman"/>
      <w:sz w:val="18"/>
      <w:szCs w:val="18"/>
    </w:rPr>
  </w:style>
  <w:style w:type="character" w:customStyle="1" w:styleId="61">
    <w:name w:val="标题 3 字符"/>
    <w:link w:val="6"/>
    <w:qFormat/>
    <w:uiPriority w:val="0"/>
    <w:rPr>
      <w:rFonts w:ascii="Times New Roman" w:hAnsi="Times New Roman" w:eastAsia="宋体" w:cs="Times New Roman"/>
      <w:b/>
      <w:bCs/>
      <w:sz w:val="32"/>
      <w:szCs w:val="32"/>
    </w:rPr>
  </w:style>
  <w:style w:type="character" w:customStyle="1" w:styleId="62">
    <w:name w:val="页眉 字符"/>
    <w:link w:val="26"/>
    <w:qFormat/>
    <w:uiPriority w:val="0"/>
    <w:rPr>
      <w:rFonts w:ascii="Times New Roman" w:hAnsi="Times New Roman" w:eastAsia="宋体" w:cs="Times New Roman"/>
      <w:sz w:val="18"/>
      <w:szCs w:val="18"/>
    </w:rPr>
  </w:style>
  <w:style w:type="character" w:customStyle="1" w:styleId="63">
    <w:name w:val="标题 4 字符"/>
    <w:link w:val="7"/>
    <w:qFormat/>
    <w:uiPriority w:val="0"/>
    <w:rPr>
      <w:rFonts w:ascii="Arial" w:hAnsi="Arial" w:eastAsia="黑体" w:cs="Times New Roman"/>
      <w:b/>
      <w:bCs/>
      <w:sz w:val="28"/>
      <w:szCs w:val="28"/>
    </w:rPr>
  </w:style>
  <w:style w:type="character" w:customStyle="1" w:styleId="64">
    <w:name w:val="批注框文本 字符"/>
    <w:link w:val="24"/>
    <w:qFormat/>
    <w:uiPriority w:val="0"/>
    <w:rPr>
      <w:rFonts w:ascii="Times New Roman" w:hAnsi="Times New Roman" w:eastAsia="宋体" w:cs="Times New Roman"/>
      <w:sz w:val="18"/>
      <w:szCs w:val="18"/>
    </w:rPr>
  </w:style>
  <w:style w:type="paragraph" w:customStyle="1" w:styleId="65">
    <w:name w:val="Char Char Char Char Char Char Char Char Char Char Char"/>
    <w:basedOn w:val="1"/>
    <w:qFormat/>
    <w:uiPriority w:val="0"/>
    <w:rPr>
      <w:rFonts w:ascii="Tahoma" w:hAnsi="Tahoma"/>
      <w:sz w:val="24"/>
      <w:szCs w:val="20"/>
    </w:rPr>
  </w:style>
  <w:style w:type="paragraph" w:customStyle="1" w:styleId="66">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7">
    <w:name w:val="发布令样式"/>
    <w:basedOn w:val="35"/>
    <w:qFormat/>
    <w:uiPriority w:val="0"/>
    <w:pPr>
      <w:spacing w:after="0" w:line="360" w:lineRule="atLeast"/>
      <w:ind w:firstLine="560" w:firstLineChars="200"/>
      <w:jc w:val="left"/>
      <w:outlineLvl w:val="0"/>
    </w:pPr>
    <w:rPr>
      <w:rFonts w:hint="eastAsia" w:ascii="宋体" w:hAnsi="宋体" w:eastAsia="黑体"/>
      <w:sz w:val="30"/>
      <w:szCs w:val="20"/>
    </w:rPr>
  </w:style>
  <w:style w:type="paragraph" w:customStyle="1" w:styleId="68">
    <w:name w:val="Char Char1 Char Char Char"/>
    <w:basedOn w:val="1"/>
    <w:qFormat/>
    <w:uiPriority w:val="0"/>
    <w:rPr>
      <w:rFonts w:ascii="Tahoma" w:hAnsi="Tahoma"/>
      <w:sz w:val="24"/>
      <w:szCs w:val="20"/>
    </w:rPr>
  </w:style>
  <w:style w:type="paragraph" w:customStyle="1" w:styleId="69">
    <w:name w:val="表格样式"/>
    <w:basedOn w:val="20"/>
    <w:qFormat/>
    <w:uiPriority w:val="0"/>
    <w:pPr>
      <w:spacing w:line="340" w:lineRule="exact"/>
    </w:pPr>
    <w:rPr>
      <w:rFonts w:ascii="黑体" w:hAnsi="宋体" w:eastAsia="黑体" w:cs="Times New Roman"/>
      <w:bCs/>
      <w:sz w:val="30"/>
      <w:szCs w:val="20"/>
    </w:rPr>
  </w:style>
  <w:style w:type="paragraph" w:customStyle="1" w:styleId="70">
    <w:name w:val="Char Char"/>
    <w:basedOn w:val="1"/>
    <w:qFormat/>
    <w:uiPriority w:val="0"/>
    <w:rPr>
      <w:rFonts w:ascii="Tahoma" w:hAnsi="Tahoma"/>
      <w:sz w:val="24"/>
      <w:szCs w:val="20"/>
    </w:rPr>
  </w:style>
  <w:style w:type="paragraph" w:customStyle="1" w:styleId="7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72">
    <w:name w:val="文本框文字"/>
    <w:basedOn w:val="1"/>
    <w:qFormat/>
    <w:uiPriority w:val="0"/>
    <w:pPr>
      <w:spacing w:before="200" w:line="200" w:lineRule="atLeast"/>
      <w:ind w:firstLine="1047"/>
      <w:jc w:val="left"/>
    </w:pPr>
    <w:rPr>
      <w:rFonts w:hint="eastAsia" w:ascii="宋体" w:hAnsi="宋体"/>
      <w:b/>
      <w:bCs/>
      <w:sz w:val="32"/>
      <w:szCs w:val="32"/>
    </w:rPr>
  </w:style>
  <w:style w:type="paragraph" w:customStyle="1" w:styleId="73">
    <w:name w:val="Char Char Char Char Char Char Char Char Char Char Char Char Char Char Char Char Char"/>
    <w:basedOn w:val="1"/>
    <w:qFormat/>
    <w:uiPriority w:val="0"/>
    <w:rPr>
      <w:rFonts w:ascii="Tahoma" w:hAnsi="Tahoma"/>
      <w:sz w:val="24"/>
      <w:szCs w:val="20"/>
    </w:rPr>
  </w:style>
  <w:style w:type="paragraph" w:customStyle="1" w:styleId="74">
    <w:name w:val="Char Char Char Char Char Char Char Char"/>
    <w:basedOn w:val="1"/>
    <w:qFormat/>
    <w:uiPriority w:val="0"/>
    <w:rPr>
      <w:rFonts w:ascii="Tahoma" w:hAnsi="Tahoma"/>
      <w:sz w:val="24"/>
      <w:szCs w:val="20"/>
    </w:rPr>
  </w:style>
  <w:style w:type="paragraph" w:customStyle="1" w:styleId="75">
    <w:name w:val="Char Char Char Char Char"/>
    <w:basedOn w:val="1"/>
    <w:qFormat/>
    <w:uiPriority w:val="0"/>
    <w:rPr>
      <w:rFonts w:ascii="Tahoma" w:hAnsi="Tahoma"/>
      <w:sz w:val="24"/>
      <w:szCs w:val="20"/>
    </w:rPr>
  </w:style>
  <w:style w:type="paragraph" w:customStyle="1" w:styleId="76">
    <w:name w:val="彩色列表1"/>
    <w:basedOn w:val="1"/>
    <w:qFormat/>
    <w:uiPriority w:val="0"/>
    <w:pPr>
      <w:ind w:firstLine="420" w:firstLineChars="200"/>
    </w:pPr>
    <w:rPr>
      <w:rFonts w:ascii="Calibri" w:hAnsi="Calibri"/>
      <w:szCs w:val="22"/>
    </w:rPr>
  </w:style>
  <w:style w:type="character" w:customStyle="1" w:styleId="77">
    <w:name w:val="first-child"/>
    <w:basedOn w:val="37"/>
    <w:qFormat/>
    <w:uiPriority w:val="0"/>
  </w:style>
  <w:style w:type="character" w:customStyle="1" w:styleId="78">
    <w:name w:val="last-child"/>
    <w:basedOn w:val="37"/>
    <w:qFormat/>
    <w:uiPriority w:val="0"/>
  </w:style>
  <w:style w:type="character" w:customStyle="1" w:styleId="79">
    <w:name w:val="disabled"/>
    <w:basedOn w:val="37"/>
    <w:qFormat/>
    <w:uiPriority w:val="0"/>
    <w:rPr>
      <w:color w:val="ABABAB"/>
      <w:bdr w:val="single" w:color="C9C9C9" w:sz="4" w:space="0"/>
    </w:rPr>
  </w:style>
  <w:style w:type="character" w:customStyle="1" w:styleId="80">
    <w:name w:val="current"/>
    <w:basedOn w:val="37"/>
    <w:qFormat/>
    <w:uiPriority w:val="0"/>
    <w:rPr>
      <w:b/>
      <w:color w:val="FFFFFF"/>
      <w:bdr w:val="single" w:color="FF8900" w:sz="4" w:space="0"/>
      <w:shd w:val="clear" w:color="auto" w:fill="FF8900"/>
    </w:rPr>
  </w:style>
  <w:style w:type="paragraph" w:styleId="81">
    <w:name w:val="List Paragraph"/>
    <w:basedOn w:val="1"/>
    <w:autoRedefine/>
    <w:qFormat/>
    <w:uiPriority w:val="99"/>
    <w:pPr>
      <w:ind w:firstLine="420" w:firstLineChars="200"/>
    </w:pPr>
  </w:style>
  <w:style w:type="paragraph" w:customStyle="1" w:styleId="82">
    <w:name w:val="表中说明"/>
    <w:basedOn w:val="14"/>
    <w:autoRedefine/>
    <w:qFormat/>
    <w:uiPriority w:val="0"/>
    <w:pPr>
      <w:numPr>
        <w:numId w:val="0"/>
      </w:numPr>
    </w:pPr>
    <w:rPr>
      <w:sz w:val="24"/>
    </w:rPr>
  </w:style>
  <w:style w:type="paragraph" w:customStyle="1" w:styleId="83">
    <w:name w:val="Table Text"/>
    <w:basedOn w:val="1"/>
    <w:semiHidden/>
    <w:qFormat/>
    <w:uiPriority w:val="0"/>
    <w:rPr>
      <w:rFonts w:ascii="黑体" w:hAnsi="黑体" w:eastAsia="黑体" w:cs="黑体"/>
      <w:sz w:val="22"/>
      <w:szCs w:val="22"/>
      <w:lang w:val="en-US" w:eastAsia="en-US" w:bidi="ar-SA"/>
    </w:rPr>
  </w:style>
  <w:style w:type="table" w:customStyle="1" w:styleId="8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tiff"/><Relationship Id="rId7" Type="http://schemas.openxmlformats.org/officeDocument/2006/relationships/image" Target="media/image2.tiff"/><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35</Pages>
  <Words>5684</Words>
  <Characters>6077</Characters>
  <Lines>108</Lines>
  <Paragraphs>30</Paragraphs>
  <TotalTime>1</TotalTime>
  <ScaleCrop>false</ScaleCrop>
  <LinksUpToDate>false</LinksUpToDate>
  <CharactersWithSpaces>6201</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2016-09-12T07:16:00Z</dcterms:created>
  <dc:creator>ADMINI</dc:creator>
  <cp:lastModifiedBy>『     』</cp:lastModifiedBy>
  <cp:lastPrinted>2019-01-15T01:58:00Z</cp:lastPrinted>
  <dcterms:modified xsi:type="dcterms:W3CDTF">2026-07-15T02:43:40Z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KSOTemplateDocerSaveRecord">
    <vt:lpwstr>eyJoZGlkIjoiODAzMDNhODhkMWU2M2FjMTAwNjJjZGYwYTQzOTUyN2YiLCJ1c2VySWQiOiI2ODM5NTI2MTQifQ==</vt:lpwstr>
  </property>
  <property fmtid="{D5CDD505-2E9C-101B-9397-08002B2CF9AE}" pid="4" name="ICV">
    <vt:lpwstr>696DF18F5E4A4C248A84DEF72C1945E0_13</vt:lpwstr>
  </property>
</Properties>
</file>